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jc w:val="center"/>
        <w:spacing w:before="120" w:after="120" w:line="360" w:lineRule="auto"/>
        <w:rPr>
          <w:rFonts w:ascii="Arial" w:hAnsi="Arial"/>
          <w:b/>
          <w:bCs/>
          <w:sz w:val="32"/>
          <w:szCs w:val="24"/>
        </w:rPr>
      </w:pPr>
      <w:r>
        <w:rPr>
          <w:rFonts w:hint="eastAsia" w:ascii="Arial" w:hAnsi="Arial"/>
          <w:b/>
          <w:bCs/>
          <w:sz w:val="32"/>
          <w:szCs w:val="24"/>
        </w:rPr>
        <w:t xml:space="preserve">项目名称：新北区智慧城市管理指挥平台（二期）</w:t>
      </w:r>
      <w:r/>
    </w:p>
    <w:p>
      <w:pPr>
        <w:jc w:val="center"/>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JSZC-320400-JZCG-C2025-0449</w:t>
      </w:r>
      <w:r/>
    </w:p>
    <w:p>
      <w:pPr>
        <w:jc w:val="center"/>
        <w:spacing w:before="120" w:after="120" w:line="360" w:lineRule="auto"/>
        <w:rPr>
          <w:rFonts w:ascii="Times New Roman" w:hAnsi="Times New Roman"/>
          <w:b/>
          <w:sz w:val="30"/>
          <w:szCs w:val="30"/>
        </w:rPr>
      </w:pPr>
      <w:r>
        <w:rPr>
          <w:rFonts w:hint="eastAsia" w:ascii="Arial" w:hAnsi="Arial"/>
          <w:b/>
          <w:bCs/>
          <w:sz w:val="32"/>
          <w:szCs w:val="24"/>
        </w:rPr>
        <w:t xml:space="preserve">（</w:t>
      </w:r>
      <w:r>
        <w:rPr>
          <w:rFonts w:hint="eastAsia"/>
          <w:b/>
          <w:sz w:val="30"/>
          <w:szCs w:val="30"/>
        </w:rPr>
        <w:t xml:space="preserve">全流程电子化</w:t>
      </w:r>
      <w:r>
        <w:rPr>
          <w:b/>
          <w:sz w:val="30"/>
          <w:szCs w:val="30"/>
        </w:rPr>
        <w:t xml:space="preserve">-</w:t>
      </w:r>
      <w:r>
        <w:rPr>
          <w:rFonts w:hint="eastAsia"/>
          <w:b/>
          <w:sz w:val="30"/>
          <w:szCs w:val="30"/>
        </w:rPr>
        <w:t xml:space="preserve">服务类项目，适用苏</w:t>
      </w:r>
      <w:r>
        <w:rPr>
          <w:rFonts w:hint="eastAsia"/>
          <w:b/>
          <w:sz w:val="30"/>
          <w:szCs w:val="30"/>
        </w:rPr>
        <w:t xml:space="preserve">采云</w:t>
      </w:r>
      <w:r>
        <w:rPr>
          <w:rFonts w:hint="eastAsia"/>
          <w:b/>
          <w:sz w:val="30"/>
          <w:szCs w:val="30"/>
        </w:rPr>
        <w:t xml:space="preserve">系统</w:t>
      </w:r>
      <w:r>
        <w:rPr>
          <w:b/>
          <w:sz w:val="30"/>
          <w:szCs w:val="30"/>
        </w:rPr>
        <w:t xml:space="preserve">，</w:t>
      </w:r>
      <w:r>
        <w:rPr>
          <w:rFonts w:hint="eastAsia"/>
          <w:b/>
          <w:sz w:val="30"/>
          <w:szCs w:val="30"/>
        </w:rPr>
        <w:t xml:space="preserve">非专门面向中小企业</w:t>
      </w:r>
      <w:r>
        <w:rPr>
          <w:rFonts w:hint="eastAsia" w:ascii="Arial" w:hAnsi="Arial"/>
          <w:b/>
          <w:bCs/>
          <w:sz w:val="32"/>
          <w:szCs w:val="24"/>
        </w:rPr>
        <w:t xml:space="preserve">）</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常州市政府采购中心</w:t>
      </w:r>
      <w:r/>
    </w:p>
    <w:p>
      <w:pPr>
        <w:jc w:val="center"/>
        <w:spacing w:before="120" w:after="120" w:line="360" w:lineRule="auto"/>
        <w:rPr>
          <w:rFonts w:ascii="Arial" w:hAnsi="Arial"/>
          <w:b/>
          <w:bCs/>
          <w:sz w:val="32"/>
          <w:szCs w:val="24"/>
        </w:rPr>
      </w:pPr>
      <w:r>
        <w:rPr>
          <w:rFonts w:ascii="Arial" w:hAnsi="Arial"/>
          <w:b/>
          <w:bCs/>
          <w:sz w:val="32"/>
          <w:szCs w:val="24"/>
        </w:rPr>
        <w:t xml:space="preserve">2025</w:t>
      </w:r>
      <w:r>
        <w:rPr>
          <w:rFonts w:hint="eastAsia" w:ascii="Arial" w:hAnsi="Arial"/>
          <w:b/>
          <w:bCs/>
          <w:sz w:val="32"/>
          <w:szCs w:val="24"/>
        </w:rPr>
        <w:t xml:space="preserve">年</w:t>
      </w:r>
      <w:r>
        <w:rPr>
          <w:rFonts w:ascii="Arial" w:hAnsi="Arial"/>
          <w:b/>
          <w:bCs/>
          <w:sz w:val="32"/>
          <w:szCs w:val="24"/>
        </w:rPr>
        <w:t xml:space="preserve">10</w:t>
      </w:r>
      <w:r>
        <w:rPr>
          <w:rFonts w:hint="eastAsia" w:ascii="Arial" w:hAnsi="Arial"/>
          <w:b/>
          <w:bCs/>
          <w:sz w:val="32"/>
          <w:szCs w:val="24"/>
        </w:rPr>
        <w:t xml:space="preserve">月</w:t>
      </w:r>
      <w:r>
        <w:rPr>
          <w:rFonts w:ascii="Arial" w:hAnsi="Arial"/>
          <w:b/>
          <w:bCs/>
          <w:sz w:val="32"/>
          <w:szCs w:val="24"/>
        </w:rPr>
        <w:t xml:space="preserve">30</w:t>
      </w:r>
      <w:r>
        <w:rPr>
          <w:rFonts w:hint="eastAsia" w:ascii="Arial" w:hAnsi="Arial"/>
          <w:b/>
          <w:bCs/>
          <w:sz w:val="32"/>
          <w:szCs w:val="24"/>
        </w:rPr>
        <w:t xml:space="preserve">日</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rFonts w:ascii="Times New Roman" w:hAnsi="Times New Roman"/>
          <w:szCs w:val="21"/>
        </w:rPr>
        <w:br w:type="page" w:clear="all"/>
      </w:r>
      <w:bookmarkStart w:id="0" w:name="_Toc120614210"/>
      <w:r/>
      <w:bookmarkStart w:id="1" w:name="_Toc479757206"/>
      <w:r/>
      <w:bookmarkStart w:id="2" w:name="_Toc16938516"/>
      <w:r/>
      <w:bookmarkStart w:id="3" w:name="_Toc513029200"/>
      <w:r/>
      <w:bookmarkStart w:id="4" w:name="_Toc523127445"/>
      <w:r/>
      <w:bookmarkStart w:id="5" w:name="_Toc20823272"/>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spacing w:line="480" w:lineRule="auto"/>
        <w:rPr>
          <w:rFonts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 </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  </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jc w:val="center"/>
        <w:keepNext/>
        <w:rPr>
          <w:rFonts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p>
    <w:p>
      <w:pPr>
        <w:ind w:firstLine="480"/>
        <w:rPr>
          <w:rFonts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常州国家高新技术产业开发区（新北区）城市管理局（机关）</w:t>
      </w:r>
      <w:r>
        <w:rPr>
          <w:rFonts w:hint="eastAsia" w:ascii="宋体" w:hAnsi="宋体"/>
          <w:sz w:val="24"/>
          <w:szCs w:val="24"/>
        </w:rPr>
        <w:t xml:space="preserve">]的委托，常州市政府采购中心就[</w:t>
      </w:r>
      <w:r>
        <w:rPr>
          <w:rFonts w:hint="eastAsia" w:ascii="宋体" w:hAnsi="宋体"/>
          <w:b/>
          <w:sz w:val="24"/>
          <w:szCs w:val="24"/>
        </w:rPr>
        <w:t xml:space="preserve">新北区智慧城市管理指挥平台（二期）</w:t>
      </w:r>
      <w:r>
        <w:rPr>
          <w:rFonts w:hint="eastAsia" w:ascii="宋体" w:hAnsi="宋体"/>
          <w:sz w:val="24"/>
          <w:szCs w:val="24"/>
        </w:rPr>
        <w:t xml:space="preserve">]([</w:t>
      </w:r>
      <w:r>
        <w:rPr>
          <w:rFonts w:ascii="宋体" w:hAnsi="宋体"/>
          <w:b/>
          <w:sz w:val="24"/>
          <w:szCs w:val="24"/>
        </w:rPr>
        <w:t xml:space="preserve">JSZC-320400-JZCG-C2025-0449</w:t>
      </w:r>
      <w:r>
        <w:rPr>
          <w:rFonts w:hint="eastAsia" w:ascii="宋体" w:hAnsi="宋体"/>
          <w:sz w:val="24"/>
          <w:szCs w:val="24"/>
        </w:rPr>
        <w:t xml:space="preserve">])项目进行竞争性磋商采购，欢迎符合条件的供应商参加磋商。</w:t>
      </w:r>
      <w:r/>
    </w:p>
    <w:p>
      <w:pPr>
        <w:ind w:firstLine="498"/>
        <w:keepLines/>
        <w:keepNext/>
        <w:spacing w:before="156" w:after="156" w:line="360" w:lineRule="auto"/>
        <w:rPr>
          <w:rFonts w:ascii="Times New Roman" w:hAnsi="Times New Roman"/>
          <w:b/>
          <w:bCs/>
          <w:sz w:val="32"/>
          <w:szCs w:val="32"/>
        </w:rPr>
        <w:outlineLvl w:val="2"/>
      </w:pPr>
      <w:r/>
      <w:bookmarkStart w:id="6" w:name="_Toc35393621"/>
      <w:r/>
      <w:bookmarkStart w:id="7" w:name="_Toc28359002"/>
      <w:r/>
      <w:bookmarkStart w:id="8" w:name="_Toc38985263"/>
      <w:r/>
      <w:bookmarkStart w:id="9" w:name="_Toc28359079"/>
      <w:r/>
      <w:bookmarkStart w:id="10" w:name="_Toc35393790"/>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JSZC-320400-JZCG-C2025-0449</w:t>
      </w:r>
      <w:r/>
    </w:p>
    <w:p>
      <w:pPr>
        <w:ind w:firstLine="480"/>
        <w:rPr>
          <w:rFonts w:ascii="宋体" w:hAnsi="宋体"/>
          <w:sz w:val="24"/>
          <w:szCs w:val="24"/>
        </w:rPr>
      </w:pPr>
      <w:r>
        <w:rPr>
          <w:rFonts w:hint="eastAsia" w:ascii="宋体" w:hAnsi="宋体"/>
          <w:sz w:val="24"/>
          <w:szCs w:val="24"/>
        </w:rPr>
        <w:t xml:space="preserve">2.项目名称：新北区智慧城市管理指挥平台（二期）</w:t>
      </w:r>
      <w:bookmarkEnd w:id="11"/>
      <w:r/>
      <w:r/>
    </w:p>
    <w:p>
      <w:pPr>
        <w:ind w:firstLine="480"/>
        <w:rPr>
          <w:rFonts w:ascii="宋体" w:hAnsi="宋体"/>
          <w:sz w:val="24"/>
          <w:szCs w:val="24"/>
        </w:rPr>
      </w:pPr>
      <w:r>
        <w:rPr>
          <w:rFonts w:hint="eastAsia" w:ascii="宋体" w:hAnsi="宋体"/>
          <w:sz w:val="24"/>
          <w:szCs w:val="24"/>
        </w:rPr>
        <w:t xml:space="preserve">3.预算金额：</w:t>
      </w:r>
      <w:r>
        <w:rPr>
          <w:rFonts w:ascii="宋体" w:hAnsi="宋体"/>
          <w:sz w:val="24"/>
          <w:szCs w:val="24"/>
        </w:rPr>
        <w:t xml:space="preserve">23.8</w:t>
      </w:r>
      <w:r>
        <w:rPr>
          <w:rFonts w:hint="eastAsia" w:ascii="宋体" w:hAnsi="宋体"/>
          <w:sz w:val="24"/>
          <w:szCs w:val="24"/>
        </w:rPr>
        <w:t xml:space="preserve">万元</w:t>
      </w:r>
      <w:r/>
    </w:p>
    <w:p>
      <w:pPr>
        <w:ind w:firstLine="480"/>
        <w:rPr>
          <w:rFonts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最高限价：2</w:t>
      </w:r>
      <w:r>
        <w:rPr>
          <w:rFonts w:ascii="宋体" w:hAnsi="宋体"/>
          <w:sz w:val="24"/>
          <w:szCs w:val="24"/>
        </w:rPr>
        <w:t xml:space="preserve">1.8</w:t>
      </w:r>
      <w:r>
        <w:rPr>
          <w:rFonts w:hint="eastAsia" w:ascii="宋体" w:hAnsi="宋体"/>
          <w:sz w:val="24"/>
          <w:szCs w:val="24"/>
        </w:rPr>
        <w:t xml:space="preserve">万元</w:t>
      </w:r>
      <w:r/>
    </w:p>
    <w:p>
      <w:pPr>
        <w:ind w:firstLine="480"/>
        <w:rPr>
          <w:rFonts w:ascii="宋体" w:hAnsi="宋体"/>
          <w:sz w:val="24"/>
          <w:szCs w:val="24"/>
          <w:u w:val="single"/>
        </w:rPr>
      </w:pPr>
      <w:r>
        <w:rPr>
          <w:rFonts w:ascii="宋体" w:hAnsi="宋体"/>
          <w:sz w:val="24"/>
          <w:szCs w:val="24"/>
        </w:rPr>
        <w:t xml:space="preserve">5</w:t>
      </w:r>
      <w:r>
        <w:rPr>
          <w:rFonts w:hint="eastAsia" w:ascii="宋体" w:hAnsi="宋体"/>
          <w:sz w:val="24"/>
          <w:szCs w:val="24"/>
        </w:rPr>
        <w:t xml:space="preserve">.采购需求（简介）：本项目建设以新北城管中转站运行监管模块、公厕数据接入、智慧内务及安全生产场景为建设重点，以进一步加强市运管服平台能力运用及新北区个性化业务应用为目标，完善新北区智慧城市管理指挥平台，建立全域覆盖、全时可用、全程可控的智慧城市管理新模式。</w:t>
      </w:r>
      <w:r>
        <w:rPr>
          <w:rFonts w:hint="eastAsia" w:ascii="宋体" w:hAnsi="宋体" w:cs="宋体"/>
          <w:b/>
          <w:sz w:val="24"/>
          <w:szCs w:val="24"/>
        </w:rPr>
        <w:t xml:space="preserve">（详细内容见本磋商文件第四章）</w:t>
      </w:r>
      <w:r/>
    </w:p>
    <w:p>
      <w:pPr>
        <w:ind w:firstLine="480"/>
        <w:rPr>
          <w:rFonts w:ascii="宋体" w:hAnsi="宋体"/>
          <w:sz w:val="24"/>
          <w:szCs w:val="24"/>
          <w:u w:val="single"/>
        </w:rPr>
      </w:pPr>
      <w:r>
        <w:rPr>
          <w:rFonts w:ascii="宋体" w:hAnsi="宋体"/>
          <w:sz w:val="24"/>
          <w:szCs w:val="24"/>
        </w:rPr>
        <w:t xml:space="preserve">6</w:t>
      </w:r>
      <w:r>
        <w:rPr>
          <w:rFonts w:hint="eastAsia" w:ascii="宋体" w:hAnsi="宋体"/>
          <w:sz w:val="24"/>
          <w:szCs w:val="24"/>
        </w:rPr>
        <w:t xml:space="preserve">.合同履行期限：合同签订后，30日内完成平台建设、上线、运行并通过验收。</w:t>
      </w:r>
      <w:r/>
    </w:p>
    <w:p>
      <w:pPr>
        <w:ind w:firstLine="498"/>
        <w:keepLines/>
        <w:keepNext/>
        <w:spacing w:before="156" w:after="156" w:line="360" w:lineRule="auto"/>
        <w:rPr>
          <w:rFonts w:ascii="Times New Roman" w:hAnsi="Times New Roman"/>
          <w:b/>
          <w:bCs/>
          <w:sz w:val="32"/>
          <w:szCs w:val="32"/>
        </w:rPr>
        <w:outlineLvl w:val="2"/>
      </w:pPr>
      <w:r/>
      <w:bookmarkStart w:id="12" w:name="_Toc35393791"/>
      <w:r/>
      <w:bookmarkStart w:id="13" w:name="_Toc28359080"/>
      <w:r/>
      <w:bookmarkStart w:id="14" w:name="_Toc38985264"/>
      <w:r/>
      <w:bookmarkStart w:id="15" w:name="_Toc35393622"/>
      <w:r/>
      <w:bookmarkStart w:id="16" w:name="_Toc28359003"/>
      <w:r>
        <w:rPr>
          <w:rFonts w:hint="eastAsia" w:ascii="Times New Roman" w:hAnsi="Times New Roman"/>
          <w:b/>
          <w:bCs/>
          <w:sz w:val="32"/>
          <w:szCs w:val="32"/>
        </w:rPr>
        <w:t xml:space="preserve">二、申请人的资格要求：</w:t>
      </w:r>
      <w:bookmarkEnd w:id="12"/>
      <w:r/>
      <w:bookmarkEnd w:id="13"/>
      <w:r/>
      <w:bookmarkEnd w:id="14"/>
      <w:r/>
      <w:bookmarkEnd w:id="15"/>
      <w:r/>
      <w:bookmarkEnd w:id="16"/>
      <w:r/>
      <w:r/>
    </w:p>
    <w:p>
      <w:pPr>
        <w:ind w:firstLine="480"/>
        <w:rPr>
          <w:rFonts w:ascii="宋体" w:hAnsi="宋体"/>
          <w:sz w:val="24"/>
          <w:szCs w:val="24"/>
        </w:rPr>
      </w:pPr>
      <w:r/>
      <w:bookmarkStart w:id="17" w:name="_Toc35393792"/>
      <w:r/>
      <w:bookmarkStart w:id="18" w:name="_Toc35393623"/>
      <w:r/>
      <w:bookmarkStart w:id="19" w:name="_Toc28359081"/>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1.满足《中华人民共和国政府采购法》第二十二条规定，并提供供应商资格声明函。</w:t>
      </w:r>
      <w:r/>
    </w:p>
    <w:p>
      <w:pPr>
        <w:ind w:firstLine="480"/>
        <w:rPr>
          <w:rFonts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sz w:val="24"/>
          <w:szCs w:val="24"/>
          <w:u w:val="single"/>
        </w:rPr>
        <w:t xml:space="preserve"> 不接受 </w:t>
      </w:r>
      <w:r>
        <w:rPr>
          <w:rFonts w:hint="eastAsia" w:ascii="宋体" w:hAnsi="宋体"/>
          <w:sz w:val="24"/>
          <w:szCs w:val="24"/>
          <w:u w:val="single"/>
        </w:rPr>
        <w:t xml:space="preserve">   </w:t>
      </w:r>
      <w:r>
        <w:rPr>
          <w:rFonts w:hint="eastAsia" w:ascii="宋体" w:hAnsi="宋体"/>
          <w:sz w:val="24"/>
          <w:szCs w:val="24"/>
        </w:rPr>
        <w:t xml:space="preserve">联合体参与磋商。</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0"/>
        <w:rPr>
          <w:rFonts w:ascii="宋体" w:hAnsi="宋体" w:cs="宋体"/>
          <w:sz w:val="24"/>
          <w:szCs w:val="24"/>
        </w:rPr>
      </w:pPr>
      <w:r>
        <w:rPr>
          <w:rFonts w:hint="eastAsia" w:ascii="宋体" w:hAnsi="宋体" w:cs="宋体"/>
          <w:sz w:val="24"/>
          <w:szCs w:val="24"/>
        </w:rPr>
        <w:t xml:space="preserve">无</w:t>
      </w:r>
      <w:r/>
    </w:p>
    <w:p>
      <w:pPr>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w:t>
      </w:r>
      <w:r>
        <w:rPr>
          <w:rFonts w:hint="eastAsia" w:ascii="Times New Roman" w:hAnsi="Times New Roman"/>
          <w:b/>
          <w:bCs/>
          <w:sz w:val="32"/>
          <w:szCs w:val="32"/>
        </w:rPr>
        <w:t xml:space="preserve">获取</w:t>
      </w:r>
      <w:bookmarkEnd w:id="17"/>
      <w:r/>
      <w:bookmarkEnd w:id="18"/>
      <w:r/>
      <w:bookmarkEnd w:id="19"/>
      <w:r/>
      <w:bookmarkEnd w:id="20"/>
      <w:r/>
      <w:bookmarkEnd w:id="21"/>
      <w:r>
        <w:rPr>
          <w:rFonts w:hint="eastAsia" w:ascii="Times New Roman" w:hAnsi="Times New Roman"/>
          <w:b/>
          <w:bCs/>
          <w:sz w:val="32"/>
          <w:szCs w:val="32"/>
        </w:rPr>
        <w:t xml:space="preserve">磋商</w:t>
      </w:r>
      <w:r>
        <w:rPr>
          <w:rFonts w:hint="eastAsia" w:ascii="Times New Roman" w:hAnsi="Times New Roman"/>
          <w:b/>
          <w:bCs/>
          <w:sz w:val="32"/>
          <w:szCs w:val="32"/>
        </w:rPr>
        <w:t xml:space="preserve">文件</w:t>
      </w:r>
      <w:r/>
    </w:p>
    <w:p>
      <w:pPr>
        <w:ind w:firstLine="540"/>
        <w:spacing w:line="360" w:lineRule="auto"/>
        <w:rPr>
          <w:rFonts w:ascii="宋体" w:hAnsi="宋体" w:cs="宋体"/>
          <w:b/>
          <w:sz w:val="24"/>
          <w:szCs w:val="24"/>
        </w:rPr>
      </w:pPr>
      <w:r/>
      <w:bookmarkStart w:id="22" w:name="_Toc35393624"/>
      <w:r/>
      <w:bookmarkStart w:id="23" w:name="_Toc28359082"/>
      <w:r/>
      <w:bookmarkStart w:id="24" w:name="_Toc38985266"/>
      <w:r/>
      <w:bookmarkStart w:id="25" w:name="_Toc28359005"/>
      <w:r/>
      <w:bookmarkStart w:id="26"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2.方式：在“江苏政府采购网、常州市政府采购网”自行免费下载磋商文件。</w:t>
      </w:r>
      <w:r/>
    </w:p>
    <w:p>
      <w:pPr>
        <w:pStyle w:val="838"/>
        <w:ind w:firstLine="498"/>
        <w:spacing w:before="156" w:after="156" w:line="360" w:lineRule="auto"/>
      </w:pPr>
      <w:r/>
      <w:bookmarkStart w:id="27" w:name="_Toc38985267"/>
      <w:r/>
      <w:bookmarkStart w:id="28" w:name="_Toc28359084"/>
      <w:r/>
      <w:bookmarkStart w:id="29" w:name="_Toc28359007"/>
      <w:r/>
      <w:bookmarkStart w:id="30" w:name="_Toc35393625"/>
      <w:r/>
      <w:bookmarkStart w:id="31" w:name="_Toc35393794"/>
      <w:r/>
      <w:bookmarkEnd w:id="22"/>
      <w:r/>
      <w:bookmarkEnd w:id="23"/>
      <w:r/>
      <w:bookmarkEnd w:id="24"/>
      <w:r/>
      <w:bookmarkEnd w:id="25"/>
      <w:r/>
      <w:bookmarkEnd w:id="26"/>
      <w:r>
        <w:rPr>
          <w:rFonts w:hint="eastAsia"/>
        </w:rPr>
        <w:t xml:space="preserve">四、响应文件提交</w:t>
      </w:r>
      <w:r/>
    </w:p>
    <w:p>
      <w:pPr>
        <w:ind w:firstLine="540"/>
        <w:spacing w:line="360" w:lineRule="auto"/>
        <w:rPr>
          <w:rFonts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p>
    <w:p>
      <w:pPr>
        <w:ind w:firstLine="540"/>
        <w:spacing w:line="360" w:lineRule="auto"/>
        <w:rPr>
          <w:rFonts w:ascii="宋体" w:hAnsi="宋体" w:cs="宋体"/>
          <w:sz w:val="24"/>
          <w:szCs w:val="24"/>
        </w:rPr>
      </w:pPr>
      <w:r>
        <w:rPr>
          <w:rFonts w:hint="eastAsia" w:ascii="宋体" w:hAnsi="宋体" w:cs="宋体"/>
          <w:sz w:val="24"/>
          <w:szCs w:val="24"/>
        </w:rPr>
        <w:t xml:space="preserve">2.地点：苏</w:t>
      </w:r>
      <w:r>
        <w:rPr>
          <w:rFonts w:hint="eastAsia" w:ascii="宋体" w:hAnsi="宋体" w:cs="宋体"/>
          <w:sz w:val="24"/>
          <w:szCs w:val="24"/>
        </w:rPr>
        <w:t xml:space="preserve">采云</w:t>
      </w:r>
      <w:r>
        <w:rPr>
          <w:rFonts w:hint="eastAsia" w:ascii="宋体" w:hAnsi="宋体" w:cs="宋体"/>
          <w:sz w:val="24"/>
          <w:szCs w:val="24"/>
        </w:rPr>
        <w:t xml:space="preserve">政府采购一体化平台</w:t>
      </w:r>
      <w:r/>
    </w:p>
    <w:p>
      <w:pPr>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磋商公告及磋商文件公告期限为自本公告发布之日起3个工作日。</w:t>
      </w:r>
      <w:r/>
    </w:p>
    <w:p>
      <w:pPr>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无</w:t>
      </w:r>
      <w:r/>
    </w:p>
    <w:p>
      <w:pPr>
        <w:ind w:firstLine="498"/>
        <w:keepLines/>
        <w:keepNext/>
        <w:spacing w:before="156" w:after="156" w:line="360" w:lineRule="auto"/>
        <w:rPr>
          <w:rFonts w:ascii="Times New Roman" w:hAnsi="Times New Roman"/>
          <w:b/>
          <w:bCs/>
          <w:sz w:val="32"/>
          <w:szCs w:val="32"/>
        </w:rPr>
        <w:outlineLvl w:val="2"/>
      </w:pPr>
      <w:r/>
      <w:bookmarkStart w:id="35" w:name="_Toc38985269"/>
      <w:r/>
      <w:bookmarkStart w:id="36" w:name="_Toc35393627"/>
      <w:r/>
      <w:bookmarkStart w:id="37" w:name="_Toc28359085"/>
      <w:r/>
      <w:bookmarkStart w:id="38" w:name="_Toc35393796"/>
      <w:r/>
      <w:bookmarkStart w:id="39" w:name="_Toc28359008"/>
      <w:r>
        <w:rPr>
          <w:rFonts w:hint="eastAsia" w:ascii="Times New Roman" w:hAnsi="Times New Roman"/>
          <w:b/>
          <w:bCs/>
          <w:sz w:val="32"/>
          <w:szCs w:val="32"/>
        </w:rPr>
        <w:t xml:space="preserve">七、本次磋商联系方式</w:t>
      </w:r>
      <w:bookmarkEnd w:id="35"/>
      <w:r/>
      <w:bookmarkEnd w:id="36"/>
      <w:r/>
      <w:bookmarkEnd w:id="37"/>
      <w:r/>
      <w:bookmarkEnd w:id="38"/>
      <w:r/>
      <w:bookmarkEnd w:id="39"/>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称：常州国家高新技术产业开发区（新北区）城市管理局（机关）</w:t>
      </w:r>
      <w:r>
        <w:rPr>
          <w:rFonts w:hint="eastAsia" w:ascii="宋体" w:hAnsi="宋体"/>
          <w:sz w:val="24"/>
          <w:szCs w:val="24"/>
        </w:rPr>
        <w:t xml:space="preserve">　　　　　　　　　　　</w:t>
      </w:r>
      <w:r>
        <w:rPr>
          <w:rFonts w:hint="eastAsia" w:ascii="宋体" w:hAnsi="宋体"/>
          <w:sz w:val="24"/>
          <w:szCs w:val="24"/>
        </w:rPr>
        <w:t xml:space="preserve">　</w:t>
      </w:r>
      <w:r/>
    </w:p>
    <w:p>
      <w:pPr>
        <w:ind w:left="1079" w:hanging="300"/>
        <w:jc w:val="left"/>
        <w:spacing w:line="360" w:lineRule="auto"/>
        <w:rPr>
          <w:rFonts w:ascii="宋体" w:hAnsi="宋体"/>
          <w:sz w:val="24"/>
          <w:szCs w:val="24"/>
        </w:rPr>
      </w:pPr>
      <w:r>
        <w:rPr>
          <w:rFonts w:hint="eastAsia" w:ascii="宋体" w:hAnsi="宋体"/>
          <w:sz w:val="24"/>
          <w:szCs w:val="24"/>
        </w:rPr>
        <w:t xml:space="preserve">地址：常州市新北区渭河路2号</w:t>
      </w:r>
      <w:r>
        <w:rPr>
          <w:rFonts w:hint="eastAsia" w:ascii="宋体" w:hAnsi="宋体"/>
          <w:sz w:val="24"/>
          <w:szCs w:val="24"/>
        </w:rPr>
        <w:t xml:space="preserve">　　　　　　　　　　　</w:t>
      </w:r>
      <w:r>
        <w:rPr>
          <w:rFonts w:hint="eastAsia" w:ascii="宋体" w:hAnsi="宋体"/>
          <w:sz w:val="24"/>
          <w:szCs w:val="24"/>
        </w:rPr>
        <w:t xml:space="preserve">　</w:t>
      </w:r>
      <w:r/>
    </w:p>
    <w:p>
      <w:pPr>
        <w:ind w:left="1079" w:hanging="300"/>
        <w:jc w:val="left"/>
        <w:spacing w:line="360" w:lineRule="auto"/>
        <w:rPr>
          <w:rFonts w:ascii="宋体" w:hAnsi="宋体"/>
          <w:sz w:val="24"/>
          <w:szCs w:val="24"/>
        </w:rPr>
      </w:pPr>
      <w:r>
        <w:rPr>
          <w:rFonts w:hint="eastAsia" w:ascii="宋体" w:hAnsi="宋体"/>
          <w:sz w:val="24"/>
          <w:szCs w:val="24"/>
        </w:rPr>
        <w:t xml:space="preserve">联系人：邹先生                        </w:t>
      </w:r>
      <w:r/>
    </w:p>
    <w:p>
      <w:pPr>
        <w:ind w:left="1079" w:hanging="300"/>
        <w:jc w:val="left"/>
        <w:spacing w:line="360" w:lineRule="auto"/>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85175880</w:t>
      </w:r>
      <w:r>
        <w:rPr>
          <w:rFonts w:hint="eastAsia" w:ascii="宋体" w:hAnsi="宋体"/>
          <w:sz w:val="24"/>
          <w:szCs w:val="24"/>
        </w:rPr>
        <w:t xml:space="preserve">　　　　　　　　　</w:t>
      </w:r>
      <w:r>
        <w:rPr>
          <w:rFonts w:hint="eastAsia" w:ascii="宋体" w:hAnsi="宋体"/>
          <w:sz w:val="24"/>
          <w:szCs w:val="24"/>
        </w:rPr>
        <w:t xml:space="preserve">　　 </w:t>
      </w:r>
      <w:bookmarkStart w:id="40" w:name="_Toc28359009"/>
      <w:r/>
      <w:bookmarkStart w:id="41" w:name="_Toc28359086"/>
      <w:r/>
      <w:r/>
    </w:p>
    <w:p>
      <w:pPr>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
    </w:p>
    <w:p>
      <w:pPr>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p>
    <w:p>
      <w:pPr>
        <w:ind w:firstLine="720"/>
        <w:spacing w:line="360" w:lineRule="auto"/>
        <w:rPr>
          <w:rFonts w:ascii="宋体" w:hAnsi="宋体"/>
          <w:sz w:val="24"/>
          <w:szCs w:val="24"/>
        </w:rPr>
      </w:pPr>
      <w:r>
        <w:rPr>
          <w:rFonts w:hint="eastAsia" w:ascii="宋体" w:hAnsi="宋体"/>
          <w:sz w:val="24"/>
          <w:szCs w:val="24"/>
        </w:rPr>
        <w:t xml:space="preserve">采购文件相关联系人：李女士              </w:t>
      </w:r>
      <w:r/>
    </w:p>
    <w:p>
      <w:pPr>
        <w:ind w:firstLine="720"/>
        <w:spacing w:line="360" w:lineRule="auto"/>
        <w:rPr>
          <w:rFonts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p>
    <w:p>
      <w:pPr>
        <w:ind w:firstLine="720"/>
        <w:spacing w:line="360" w:lineRule="auto"/>
        <w:rPr>
          <w:rFonts w:ascii="宋体" w:hAnsi="宋体"/>
          <w:sz w:val="24"/>
          <w:szCs w:val="24"/>
        </w:rPr>
      </w:pPr>
      <w:r>
        <w:rPr>
          <w:rFonts w:hint="eastAsia" w:ascii="宋体" w:hAnsi="宋体"/>
          <w:sz w:val="24"/>
          <w:szCs w:val="24"/>
        </w:rPr>
        <w:t xml:space="preserve">开标评审相关联系人：孙先生          </w:t>
      </w:r>
      <w:r/>
    </w:p>
    <w:p>
      <w:pPr>
        <w:ind w:firstLine="720"/>
        <w:spacing w:line="360" w:lineRule="auto"/>
        <w:rPr>
          <w:rFonts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p>
    <w:p>
      <w:pPr>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p>
    <w:p>
      <w:pPr>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八、其他</w:t>
      </w:r>
      <w:r/>
    </w:p>
    <w:p>
      <w:pPr>
        <w:ind w:firstLine="480"/>
        <w:spacing w:line="560" w:lineRule="exact"/>
        <w:tabs>
          <w:tab w:val="left" w:pos="900" w:leader="none"/>
        </w:tabs>
        <w:rPr>
          <w:rFonts w:ascii="宋体" w:hAnsi="宋体"/>
          <w:bCs/>
          <w:color w:val="ff0000"/>
          <w:sz w:val="24"/>
          <w:szCs w:val="24"/>
        </w:rPr>
      </w:pPr>
      <w:r>
        <w:rPr>
          <w:rFonts w:ascii="宋体" w:hAnsi="宋体"/>
          <w:color w:val="ff0000"/>
          <w:sz w:val="24"/>
          <w:szCs w:val="21"/>
        </w:rPr>
        <w:t xml:space="preserve">1</w:t>
      </w:r>
      <w:r>
        <w:rPr>
          <w:rFonts w:hint="eastAsia" w:ascii="宋体" w:hAnsi="宋体"/>
          <w:color w:val="ff0000"/>
          <w:sz w:val="24"/>
          <w:szCs w:val="21"/>
        </w:rPr>
        <w:t xml:space="preserve">.</w:t>
      </w:r>
      <w:r>
        <w:rPr>
          <w:rFonts w:hint="eastAsia" w:ascii="宋体" w:hAnsi="宋体"/>
          <w:bCs/>
          <w:color w:val="ff0000"/>
          <w:sz w:val="24"/>
          <w:szCs w:val="24"/>
        </w:rPr>
        <w:t xml:space="preserve"> 根据省财政厅《关于更换全省政府采购交易系统C A数字证书和电子签章的通知》（</w:t>
      </w:r>
      <w:r>
        <w:rPr>
          <w:rFonts w:hint="eastAsia" w:ascii="宋体" w:hAnsi="宋体"/>
          <w:bCs/>
          <w:color w:val="ff0000"/>
          <w:sz w:val="24"/>
          <w:szCs w:val="24"/>
        </w:rPr>
        <w:t xml:space="preserve">苏财购〔2023〕</w:t>
      </w:r>
      <w:r>
        <w:rPr>
          <w:rFonts w:hint="eastAsia" w:ascii="宋体" w:hAnsi="宋体"/>
          <w:bCs/>
          <w:color w:val="ff0000"/>
          <w:sz w:val="24"/>
          <w:szCs w:val="24"/>
        </w:rPr>
        <w:t xml:space="preserve">101号），</w:t>
      </w:r>
      <w:r>
        <w:rPr>
          <w:rFonts w:hint="eastAsia" w:ascii="宋体" w:hAnsi="宋体"/>
          <w:color w:val="ff0000"/>
          <w:sz w:val="24"/>
          <w:szCs w:val="24"/>
        </w:rPr>
        <w:t xml:space="preserve">“苏</w:t>
      </w:r>
      <w:r>
        <w:rPr>
          <w:rFonts w:hint="eastAsia" w:ascii="宋体" w:hAnsi="宋体"/>
          <w:color w:val="ff0000"/>
          <w:sz w:val="24"/>
          <w:szCs w:val="24"/>
        </w:rPr>
        <w:t xml:space="preserve">采</w:t>
      </w:r>
      <w:r>
        <w:rPr>
          <w:rFonts w:hint="eastAsia" w:ascii="宋体" w:hAnsi="宋体"/>
          <w:color w:val="ff0000"/>
          <w:sz w:val="24"/>
          <w:szCs w:val="24"/>
        </w:rPr>
        <w:t xml:space="preserve">云”政府采购交易系统（以下简称苏</w:t>
      </w:r>
      <w:r>
        <w:rPr>
          <w:rFonts w:hint="eastAsia" w:ascii="宋体" w:hAnsi="宋体"/>
          <w:color w:val="ff0000"/>
          <w:sz w:val="24"/>
          <w:szCs w:val="24"/>
        </w:rPr>
        <w:t xml:space="preserve">采</w:t>
      </w:r>
      <w:r>
        <w:rPr>
          <w:rFonts w:hint="eastAsia" w:ascii="宋体" w:hAnsi="宋体"/>
          <w:color w:val="ff0000"/>
          <w:sz w:val="24"/>
          <w:szCs w:val="24"/>
        </w:rPr>
        <w:t xml:space="preserve">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w:t>
      </w:r>
      <w:r>
        <w:rPr>
          <w:rFonts w:hint="eastAsia" w:ascii="宋体" w:hAnsi="宋体"/>
          <w:bCs/>
          <w:color w:val="ff0000"/>
          <w:sz w:val="24"/>
          <w:szCs w:val="24"/>
        </w:rPr>
        <w:t xml:space="preserve">CA办理窗口办理，窗口联系电话0519-85588120，其他联系方式见《苏</w:t>
      </w:r>
      <w:r>
        <w:rPr>
          <w:rFonts w:hint="eastAsia" w:ascii="宋体" w:hAnsi="宋体"/>
          <w:bCs/>
          <w:color w:val="ff0000"/>
          <w:sz w:val="24"/>
          <w:szCs w:val="24"/>
        </w:rPr>
        <w:t xml:space="preserve">采云</w:t>
      </w:r>
      <w:r>
        <w:rPr>
          <w:rFonts w:hint="eastAsia" w:ascii="宋体" w:hAnsi="宋体"/>
          <w:bCs/>
          <w:color w:val="ff0000"/>
          <w:sz w:val="24"/>
          <w:szCs w:val="24"/>
        </w:rPr>
        <w:t xml:space="preserve">系统供应商操作手册》（以下简称《操作手册》））、进行注册并按《操作手册》要求制作、上传电子投标文件。</w:t>
      </w:r>
      <w:r/>
    </w:p>
    <w:p>
      <w:pPr>
        <w:ind w:firstLine="480"/>
        <w:spacing w:line="560" w:lineRule="exact"/>
        <w:tabs>
          <w:tab w:val="left" w:pos="90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有关本次磋商的事项若存在变动或修改，敬请及时关注常州市政府采购中心在“江苏政府采购网、常州市政府采购网”发布的更正公告。</w:t>
      </w:r>
      <w:r/>
    </w:p>
    <w:p>
      <w:pPr>
        <w:ind w:firstLine="480"/>
        <w:spacing w:line="560" w:lineRule="exact"/>
        <w:tabs>
          <w:tab w:val="left" w:pos="900" w:leader="none"/>
        </w:tabs>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本次磋商不</w:t>
      </w:r>
      <w:r>
        <w:rPr>
          <w:rFonts w:hint="eastAsia" w:ascii="宋体" w:hAnsi="宋体"/>
          <w:bCs/>
          <w:sz w:val="24"/>
          <w:szCs w:val="24"/>
        </w:rPr>
        <w:t xml:space="preserve">收取磋商</w:t>
      </w:r>
      <w:r>
        <w:rPr>
          <w:rFonts w:hint="eastAsia" w:ascii="宋体" w:hAnsi="宋体"/>
          <w:bCs/>
          <w:sz w:val="24"/>
          <w:szCs w:val="24"/>
        </w:rPr>
        <w:t xml:space="preserve">保证金。</w:t>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jc w:val="center"/>
        <w:keepLines/>
        <w:keepNext/>
        <w:spacing w:before="260" w:after="260" w:line="416" w:lineRule="auto"/>
        <w:rPr>
          <w:rFonts w:ascii="黑体" w:hAnsi="Arial" w:eastAsia="黑体" w:cs="Arial"/>
          <w:sz w:val="44"/>
          <w:szCs w:val="44"/>
        </w:rPr>
        <w:outlineLvl w:val="1"/>
      </w:pPr>
      <w:r/>
      <w:bookmarkStart w:id="42"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2"/>
      <w:r>
        <w:rPr>
          <w:rFonts w:hint="eastAsia" w:ascii="黑体" w:hAnsi="Arial" w:eastAsia="黑体" w:cs="Arial"/>
          <w:b/>
          <w:bCs/>
          <w:sz w:val="44"/>
          <w:szCs w:val="44"/>
        </w:rPr>
        <w:t xml:space="preserve">供应商须知</w:t>
      </w:r>
      <w:r/>
    </w:p>
    <w:p>
      <w:pPr>
        <w:ind w:firstLine="498"/>
        <w:keepLines/>
        <w:keepNext/>
        <w:spacing w:before="156" w:after="156" w:line="360" w:lineRule="auto"/>
        <w:rPr>
          <w:rFonts w:ascii="Times New Roman" w:hAnsi="Times New Roman"/>
          <w:b/>
          <w:bCs/>
          <w:sz w:val="32"/>
          <w:szCs w:val="32"/>
        </w:rPr>
        <w:outlineLvl w:val="2"/>
      </w:pPr>
      <w:r/>
      <w:bookmarkStart w:id="43" w:name="_Toc513029203"/>
      <w:r/>
      <w:bookmarkStart w:id="44" w:name="_Toc20823275"/>
      <w:r/>
      <w:bookmarkStart w:id="45" w:name="_Toc16938519"/>
      <w:r/>
      <w:bookmarkStart w:id="46" w:name="_Toc120614214"/>
      <w:r>
        <w:rPr>
          <w:rFonts w:hint="eastAsia" w:ascii="Times New Roman" w:hAnsi="Times New Roman"/>
          <w:b/>
          <w:bCs/>
          <w:sz w:val="32"/>
          <w:szCs w:val="32"/>
        </w:rPr>
        <w:t xml:space="preserve">一、总则</w:t>
      </w:r>
      <w:bookmarkEnd w:id="43"/>
      <w:r/>
      <w:bookmarkEnd w:id="44"/>
      <w:r/>
      <w:bookmarkEnd w:id="45"/>
      <w:r/>
      <w:bookmarkEnd w:id="46"/>
      <w:r/>
      <w:r/>
    </w:p>
    <w:p>
      <w:pPr>
        <w:ind w:firstLine="420"/>
        <w:keepLines/>
        <w:keepNext/>
        <w:rPr>
          <w:rFonts w:ascii="Arial" w:hAnsi="Arial" w:eastAsia="黑体" w:cs="Arial"/>
          <w:sz w:val="28"/>
          <w:szCs w:val="28"/>
        </w:rPr>
        <w:outlineLvl w:val="3"/>
      </w:pPr>
      <w:r/>
      <w:bookmarkStart w:id="47" w:name="_Hlt16619475"/>
      <w:r/>
      <w:bookmarkStart w:id="48" w:name="_Toc458694821"/>
      <w:r/>
      <w:bookmarkStart w:id="49" w:name="_Toc513029204"/>
      <w:r/>
      <w:bookmarkStart w:id="50" w:name="_Toc16938520"/>
      <w:r/>
      <w:bookmarkStart w:id="51" w:name="_Toc20823276"/>
      <w:r/>
      <w:bookmarkEnd w:id="47"/>
      <w:r>
        <w:rPr>
          <w:rFonts w:hint="eastAsia" w:ascii="Arial" w:hAnsi="Arial" w:eastAsia="黑体" w:cs="Arial"/>
          <w:sz w:val="28"/>
          <w:szCs w:val="28"/>
        </w:rPr>
        <w:t xml:space="preserve">1</w:t>
      </w:r>
      <w:bookmarkEnd w:id="48"/>
      <w:r>
        <w:rPr>
          <w:rFonts w:hint="eastAsia" w:ascii="Arial" w:hAnsi="Arial" w:eastAsia="黑体" w:cs="Arial"/>
          <w:sz w:val="28"/>
          <w:szCs w:val="28"/>
        </w:rPr>
        <w:t xml:space="preserve">、采购方式</w:t>
      </w:r>
      <w:bookmarkEnd w:id="49"/>
      <w:r/>
      <w:bookmarkEnd w:id="50"/>
      <w:r/>
      <w:bookmarkEnd w:id="51"/>
      <w:r/>
      <w:r/>
    </w:p>
    <w:p>
      <w:pPr>
        <w:ind w:firstLine="480"/>
        <w:spacing w:line="500" w:lineRule="exact"/>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ind w:firstLine="420"/>
        <w:keepLines/>
        <w:keepNext/>
        <w:rPr>
          <w:rFonts w:ascii="Arial" w:hAnsi="Arial" w:eastAsia="黑体" w:cs="Arial"/>
          <w:sz w:val="28"/>
          <w:szCs w:val="28"/>
        </w:rPr>
        <w:outlineLvl w:val="3"/>
      </w:pPr>
      <w:r/>
      <w:bookmarkStart w:id="52" w:name="_Toc20823277"/>
      <w:r/>
      <w:bookmarkStart w:id="53" w:name="_Toc16938521"/>
      <w:r/>
      <w:bookmarkStart w:id="54" w:name="_Toc513029205"/>
      <w:r>
        <w:rPr>
          <w:rFonts w:hint="eastAsia" w:ascii="Arial" w:hAnsi="Arial" w:eastAsia="黑体" w:cs="Arial"/>
          <w:sz w:val="28"/>
          <w:szCs w:val="28"/>
        </w:rPr>
        <w:t xml:space="preserve">2</w:t>
      </w:r>
      <w:r>
        <w:rPr>
          <w:rFonts w:hint="eastAsia" w:ascii="Arial" w:hAnsi="Arial" w:eastAsia="黑体" w:cs="Arial"/>
          <w:sz w:val="28"/>
          <w:szCs w:val="28"/>
        </w:rPr>
        <w:t xml:space="preserve">、合格的</w:t>
      </w:r>
      <w:bookmarkEnd w:id="52"/>
      <w:r/>
      <w:bookmarkEnd w:id="53"/>
      <w:r/>
      <w:bookmarkEnd w:id="54"/>
      <w:r>
        <w:rPr>
          <w:rFonts w:hint="eastAsia" w:ascii="Arial" w:hAnsi="Arial" w:eastAsia="黑体" w:cs="Arial"/>
          <w:sz w:val="28"/>
          <w:szCs w:val="28"/>
        </w:rPr>
        <w:t xml:space="preserve">供应商</w:t>
      </w:r>
      <w:r/>
    </w:p>
    <w:p>
      <w:pPr>
        <w:ind w:firstLine="480"/>
        <w:spacing w:line="400" w:lineRule="exact"/>
        <w:rPr>
          <w:rFonts w:ascii="宋体" w:hAnsi="宋体"/>
          <w:sz w:val="24"/>
          <w:szCs w:val="24"/>
        </w:rPr>
      </w:pPr>
      <w:r>
        <w:rPr>
          <w:rFonts w:hint="eastAsia" w:ascii="宋体" w:hAnsi="宋体"/>
          <w:sz w:val="24"/>
          <w:szCs w:val="24"/>
        </w:rPr>
        <w:t xml:space="preserve">2.1满足磋商公告中供应商资格要求的规定。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满足本磋商文件实质性要求和条件的规定。</w:t>
      </w:r>
      <w:r/>
    </w:p>
    <w:p>
      <w:pPr>
        <w:ind w:firstLine="420"/>
        <w:keepLines/>
        <w:keepNext/>
        <w:rPr>
          <w:rFonts w:ascii="Arial" w:hAnsi="Arial" w:eastAsia="黑体" w:cs="Arial"/>
          <w:sz w:val="28"/>
          <w:szCs w:val="28"/>
        </w:rPr>
        <w:outlineLvl w:val="3"/>
      </w:pPr>
      <w:r/>
      <w:bookmarkStart w:id="55" w:name="_Toc16938522"/>
      <w:r/>
      <w:bookmarkStart w:id="56" w:name="_Toc513029206"/>
      <w:r/>
      <w:bookmarkStart w:id="57" w:name="_Toc20823278"/>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55"/>
      <w:r/>
      <w:bookmarkEnd w:id="56"/>
      <w:r/>
      <w:bookmarkEnd w:id="57"/>
      <w:r/>
      <w:r/>
    </w:p>
    <w:p>
      <w:pPr>
        <w:ind w:firstLine="420"/>
        <w:spacing w:line="400" w:lineRule="exact"/>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ind w:firstLine="420"/>
        <w:keepLines/>
        <w:keepNext/>
        <w:rPr>
          <w:rFonts w:ascii="Arial" w:hAnsi="Arial" w:eastAsia="黑体" w:cs="Arial"/>
          <w:sz w:val="28"/>
          <w:szCs w:val="28"/>
        </w:rPr>
        <w:outlineLvl w:val="3"/>
      </w:pPr>
      <w:r/>
      <w:bookmarkStart w:id="58" w:name="_Toc462564067"/>
      <w:r/>
      <w:bookmarkStart w:id="59" w:name="_Toc16938523"/>
      <w:r/>
      <w:bookmarkStart w:id="60" w:name="_Toc513029207"/>
      <w:r/>
      <w:bookmarkStart w:id="61" w:name="_Toc20823279"/>
      <w:r>
        <w:rPr>
          <w:rFonts w:hint="eastAsia" w:ascii="Arial" w:hAnsi="Arial" w:eastAsia="黑体" w:cs="Arial"/>
          <w:sz w:val="28"/>
          <w:szCs w:val="28"/>
        </w:rPr>
        <w:t xml:space="preserve">4</w:t>
      </w:r>
      <w:r>
        <w:rPr>
          <w:rFonts w:hint="eastAsia" w:ascii="Arial" w:hAnsi="Arial" w:eastAsia="黑体" w:cs="Arial"/>
          <w:sz w:val="28"/>
          <w:szCs w:val="28"/>
        </w:rPr>
        <w:t xml:space="preserve">、磋商费用</w:t>
      </w:r>
      <w:bookmarkEnd w:id="58"/>
      <w:r/>
      <w:bookmarkEnd w:id="59"/>
      <w:r/>
      <w:bookmarkEnd w:id="60"/>
      <w:r/>
      <w:bookmarkEnd w:id="61"/>
      <w:r/>
      <w:r/>
    </w:p>
    <w:p>
      <w:pPr>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供应商应自行承担所有与参加本次磋商有关的费用，无论磋商过程中的做法和结果如何，常州市政府采购中心（以下简称采购中心）在任何情况下均无义务和责任承担这些费用。</w:t>
      </w:r>
      <w:r/>
    </w:p>
    <w:p>
      <w:pPr>
        <w:ind w:firstLine="480"/>
        <w:spacing w:line="500" w:lineRule="exact"/>
        <w:rPr>
          <w:rFonts w:ascii="宋体" w:hAnsi="宋体"/>
          <w:sz w:val="24"/>
          <w:szCs w:val="21"/>
        </w:rPr>
      </w:pPr>
      <w:r>
        <w:rPr>
          <w:rFonts w:hint="eastAsia" w:ascii="宋体" w:hAnsi="宋体"/>
          <w:sz w:val="24"/>
          <w:szCs w:val="21"/>
        </w:rPr>
        <w:t xml:space="preserve">4.2本次磋商采购中心和采购人不收取标书工本费与成交服务费。</w:t>
      </w:r>
      <w:r/>
    </w:p>
    <w:p>
      <w:pPr>
        <w:ind w:firstLine="301"/>
        <w:keepLines/>
        <w:keepNext/>
        <w:spacing w:line="48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磋商文件的约束力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ind w:firstLine="321"/>
        <w:keepLines/>
        <w:keepNext/>
        <w:spacing w:before="156" w:after="156" w:line="360" w:lineRule="auto"/>
        <w:rPr>
          <w:rFonts w:ascii="Times New Roman" w:hAnsi="Times New Roman"/>
          <w:b/>
          <w:bCs/>
          <w:sz w:val="32"/>
          <w:szCs w:val="32"/>
        </w:rPr>
        <w:outlineLvl w:val="2"/>
      </w:pPr>
      <w:r/>
      <w:bookmarkStart w:id="62" w:name="_Toc120614215"/>
      <w:r/>
      <w:bookmarkStart w:id="63" w:name="_Toc16938525"/>
      <w:r/>
      <w:bookmarkStart w:id="64" w:name="_Toc513029209"/>
      <w:r/>
      <w:bookmarkStart w:id="65" w:name="_Toc20823281"/>
      <w:r>
        <w:rPr>
          <w:rFonts w:hint="eastAsia" w:ascii="Times New Roman" w:hAnsi="Times New Roman"/>
          <w:b/>
          <w:bCs/>
          <w:sz w:val="32"/>
          <w:szCs w:val="32"/>
        </w:rPr>
        <w:t xml:space="preserve">二、</w:t>
      </w:r>
      <w:bookmarkEnd w:id="62"/>
      <w:r/>
      <w:bookmarkEnd w:id="63"/>
      <w:r/>
      <w:bookmarkEnd w:id="64"/>
      <w:r/>
      <w:bookmarkEnd w:id="65"/>
      <w:r>
        <w:rPr>
          <w:rFonts w:hint="eastAsia" w:ascii="Times New Roman" w:hAnsi="Times New Roman"/>
          <w:b/>
          <w:bCs/>
          <w:sz w:val="32"/>
          <w:szCs w:val="32"/>
        </w:rPr>
        <w:t xml:space="preserve">磋商文件</w:t>
      </w:r>
      <w:r/>
    </w:p>
    <w:p>
      <w:pPr>
        <w:ind w:firstLine="420"/>
        <w:keepLines/>
        <w:keepNext/>
        <w:rPr>
          <w:rFonts w:ascii="Arial" w:hAnsi="Arial" w:eastAsia="黑体" w:cs="Arial"/>
          <w:sz w:val="28"/>
          <w:szCs w:val="28"/>
        </w:rPr>
        <w:outlineLvl w:val="3"/>
      </w:pPr>
      <w:r/>
      <w:bookmarkStart w:id="66" w:name="_Toc20823282"/>
      <w:r/>
      <w:bookmarkStart w:id="67" w:name="_Toc513029210"/>
      <w:r/>
      <w:bookmarkStart w:id="68" w:name="_Toc16938526"/>
      <w:r>
        <w:rPr>
          <w:rFonts w:hint="eastAsia" w:ascii="Arial" w:hAnsi="Arial" w:eastAsia="黑体" w:cs="Arial"/>
          <w:sz w:val="28"/>
          <w:szCs w:val="28"/>
        </w:rPr>
        <w:t xml:space="preserve">6</w:t>
      </w:r>
      <w:r>
        <w:rPr>
          <w:rFonts w:hint="eastAsia" w:ascii="Arial" w:hAnsi="Arial" w:eastAsia="黑体" w:cs="Arial"/>
          <w:sz w:val="28"/>
          <w:szCs w:val="28"/>
        </w:rPr>
        <w:t xml:space="preserve">、磋商文件构成</w:t>
      </w:r>
      <w:bookmarkEnd w:id="66"/>
      <w:r/>
      <w:bookmarkEnd w:id="67"/>
      <w:r/>
      <w:bookmarkEnd w:id="68"/>
      <w:r/>
      <w:r/>
    </w:p>
    <w:p>
      <w:pPr>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360"/>
        <w:spacing w:line="400" w:lineRule="exact"/>
        <w:rPr>
          <w:rFonts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（2）供应商须知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rFonts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p>
    <w:p>
      <w:pPr>
        <w:ind w:firstLine="360"/>
        <w:spacing w:line="400" w:lineRule="exact"/>
        <w:rPr>
          <w:rFonts w:ascii="宋体" w:hAnsi="宋体"/>
          <w:sz w:val="24"/>
          <w:szCs w:val="24"/>
        </w:rPr>
      </w:pPr>
      <w:r>
        <w:rPr>
          <w:rFonts w:hint="eastAsia" w:ascii="宋体" w:hAnsi="宋体"/>
          <w:sz w:val="24"/>
          <w:szCs w:val="24"/>
        </w:rPr>
        <w:t xml:space="preserve">（6）响应文件格式</w:t>
      </w:r>
      <w:r/>
    </w:p>
    <w:p>
      <w:pPr>
        <w:ind w:firstLine="480"/>
        <w:spacing w:line="500" w:lineRule="exact"/>
        <w:rPr>
          <w:rFonts w:ascii="宋体" w:hAnsi="宋体"/>
          <w:sz w:val="24"/>
          <w:szCs w:val="21"/>
        </w:rPr>
      </w:pPr>
      <w:r>
        <w:rPr>
          <w:rFonts w:hint="eastAsia" w:ascii="宋体" w:hAnsi="宋体"/>
          <w:sz w:val="24"/>
          <w:szCs w:val="21"/>
        </w:rPr>
        <w:t xml:space="preserve">请仔细检查磋商文件是否齐全，如有</w:t>
      </w:r>
      <w:r>
        <w:rPr>
          <w:rFonts w:hint="eastAsia" w:ascii="宋体" w:hAnsi="宋体"/>
          <w:sz w:val="24"/>
          <w:szCs w:val="21"/>
        </w:rPr>
        <w:t xml:space="preserve">缺漏请</w:t>
      </w:r>
      <w:r>
        <w:rPr>
          <w:rFonts w:hint="eastAsia" w:ascii="宋体" w:hAnsi="宋体"/>
          <w:sz w:val="24"/>
          <w:szCs w:val="21"/>
        </w:rPr>
        <w:t xml:space="preserve">立即与采购中心联系解决。</w:t>
      </w:r>
      <w:r/>
    </w:p>
    <w:p>
      <w:pPr>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w:t>
      </w:r>
      <w:r>
        <w:rPr>
          <w:rFonts w:hint="eastAsia" w:ascii="宋体" w:hAnsi="宋体"/>
          <w:sz w:val="24"/>
          <w:szCs w:val="21"/>
        </w:rPr>
        <w:t xml:space="preserve">阅读磋商</w:t>
      </w:r>
      <w:r>
        <w:rPr>
          <w:rFonts w:hint="eastAsia" w:ascii="宋体" w:hAnsi="宋体"/>
          <w:sz w:val="24"/>
          <w:szCs w:val="21"/>
        </w:rPr>
        <w:t xml:space="preserve">文件中所有的事项、格式、条款和规范等要求。按磋商文件要求和规定编制响应文件，并保证所提供的全部资料的真实性，以使其响应文件对磋商文件</w:t>
      </w:r>
      <w:r>
        <w:rPr>
          <w:rFonts w:hint="eastAsia" w:ascii="宋体" w:hAnsi="宋体"/>
          <w:sz w:val="24"/>
          <w:szCs w:val="21"/>
        </w:rPr>
        <w:t xml:space="preserve">作出</w:t>
      </w:r>
      <w:r>
        <w:rPr>
          <w:rFonts w:hint="eastAsia" w:ascii="宋体" w:hAnsi="宋体"/>
          <w:sz w:val="24"/>
          <w:szCs w:val="21"/>
        </w:rPr>
        <w:t xml:space="preserve">实质性响应，否则其风险由供应商自行承担。</w:t>
      </w:r>
      <w:r/>
    </w:p>
    <w:p>
      <w:pPr>
        <w:ind w:firstLine="560"/>
        <w:keepLines/>
        <w:keepNext/>
        <w:rPr>
          <w:rFonts w:ascii="Arial" w:hAnsi="Arial" w:eastAsia="黑体" w:cs="Arial"/>
          <w:sz w:val="28"/>
          <w:szCs w:val="28"/>
        </w:rPr>
        <w:outlineLvl w:val="3"/>
      </w:pPr>
      <w:r/>
      <w:bookmarkStart w:id="69" w:name="_Toc16938527"/>
      <w:r/>
      <w:bookmarkStart w:id="70" w:name="_Toc462564070"/>
      <w:r/>
      <w:bookmarkStart w:id="71" w:name="_Toc20823283"/>
      <w:r/>
      <w:bookmarkStart w:id="72" w:name="_Toc513029211"/>
      <w:r>
        <w:rPr>
          <w:rFonts w:hint="eastAsia" w:ascii="Arial" w:hAnsi="Arial" w:eastAsia="黑体" w:cs="Arial"/>
          <w:sz w:val="28"/>
          <w:szCs w:val="28"/>
        </w:rPr>
        <w:t xml:space="preserve">7</w:t>
      </w:r>
      <w:r>
        <w:rPr>
          <w:rFonts w:hint="eastAsia" w:ascii="Arial" w:hAnsi="Arial" w:eastAsia="黑体" w:cs="Arial"/>
          <w:sz w:val="28"/>
          <w:szCs w:val="28"/>
        </w:rPr>
        <w:t xml:space="preserve">、磋商文件的澄清</w:t>
      </w:r>
      <w:bookmarkEnd w:id="69"/>
      <w:r/>
      <w:bookmarkEnd w:id="70"/>
      <w:r/>
      <w:bookmarkEnd w:id="71"/>
      <w:r/>
      <w:bookmarkEnd w:id="72"/>
      <w:r/>
      <w:r/>
    </w:p>
    <w:p>
      <w:pPr>
        <w:ind w:firstLine="480"/>
        <w:spacing w:line="480" w:lineRule="exact"/>
        <w:rPr>
          <w:rFonts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按磋商公告中的通讯地址，以书面形式通知采购中心。</w:t>
      </w:r>
      <w:r/>
    </w:p>
    <w:p>
      <w:pPr>
        <w:ind w:firstLine="560"/>
        <w:keepLines/>
        <w:keepNext/>
        <w:rPr>
          <w:rFonts w:ascii="Arial" w:hAnsi="Arial" w:eastAsia="黑体" w:cs="Arial"/>
          <w:sz w:val="28"/>
          <w:szCs w:val="28"/>
        </w:rPr>
        <w:outlineLvl w:val="3"/>
      </w:pPr>
      <w:r/>
      <w:bookmarkStart w:id="73" w:name="_Toc20823284"/>
      <w:r/>
      <w:bookmarkStart w:id="74" w:name="_Toc16938528"/>
      <w:r/>
      <w:bookmarkStart w:id="75" w:name="_Toc462564071"/>
      <w:r/>
      <w:bookmarkStart w:id="76" w:name="_Toc513029212"/>
      <w:r>
        <w:rPr>
          <w:rFonts w:hint="eastAsia" w:ascii="Arial" w:hAnsi="Arial" w:eastAsia="黑体" w:cs="Arial"/>
          <w:sz w:val="28"/>
          <w:szCs w:val="28"/>
        </w:rPr>
        <w:t xml:space="preserve">8</w:t>
      </w:r>
      <w:r>
        <w:rPr>
          <w:rFonts w:hint="eastAsia" w:ascii="Arial" w:hAnsi="Arial" w:eastAsia="黑体" w:cs="Arial"/>
          <w:sz w:val="28"/>
          <w:szCs w:val="28"/>
        </w:rPr>
        <w:t xml:space="preserve">、磋商文件的澄清和修改</w:t>
      </w:r>
      <w:bookmarkEnd w:id="73"/>
      <w:r/>
      <w:bookmarkEnd w:id="74"/>
      <w:r/>
      <w:bookmarkEnd w:id="75"/>
      <w:r/>
      <w:bookmarkEnd w:id="76"/>
      <w:r/>
      <w:r/>
    </w:p>
    <w:p>
      <w:pPr>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中心将在提交首次响应文件截止时间至少5日前，在“江苏政府采购网、常州市政府采购网”上发布书面更正公告形式通知所有</w:t>
      </w:r>
      <w:r>
        <w:rPr>
          <w:rFonts w:hint="eastAsia" w:ascii="宋体" w:hAnsi="宋体"/>
          <w:sz w:val="24"/>
          <w:szCs w:val="21"/>
        </w:rPr>
        <w:t xml:space="preserve">获取磋商</w:t>
      </w:r>
      <w:r>
        <w:rPr>
          <w:rFonts w:hint="eastAsia" w:ascii="宋体" w:hAnsi="宋体"/>
          <w:sz w:val="24"/>
          <w:szCs w:val="21"/>
        </w:rPr>
        <w:t xml:space="preserve">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更正公告内容将作为磋商文件的组成部分，并对供应商具有约束力。不足5日的，采购中心将顺延提交首次响应文件截止时间。</w:t>
      </w:r>
      <w:r/>
    </w:p>
    <w:p>
      <w:pPr>
        <w:ind w:firstLine="480"/>
        <w:spacing w:line="500" w:lineRule="exact"/>
        <w:rPr>
          <w:rFonts w:ascii="宋体" w:hAnsi="宋体"/>
          <w:sz w:val="24"/>
          <w:szCs w:val="21"/>
        </w:rPr>
      </w:pPr>
      <w:r>
        <w:rPr>
          <w:rFonts w:hint="eastAsia" w:ascii="宋体" w:hAnsi="宋体"/>
          <w:sz w:val="24"/>
          <w:szCs w:val="21"/>
        </w:rPr>
        <w:t xml:space="preserve">8.2采购中心可以视采购项目的具体情况，组织供应商进行现场考察或</w:t>
      </w:r>
      <w:r>
        <w:rPr>
          <w:rFonts w:hint="eastAsia" w:ascii="宋体" w:hAnsi="宋体"/>
          <w:sz w:val="24"/>
          <w:szCs w:val="21"/>
        </w:rPr>
        <w:t xml:space="preserve">召开磋商</w:t>
      </w:r>
      <w:r>
        <w:rPr>
          <w:rFonts w:hint="eastAsia" w:ascii="宋体" w:hAnsi="宋体"/>
          <w:sz w:val="24"/>
          <w:szCs w:val="21"/>
        </w:rPr>
        <w:t xml:space="preserve">前答疑会，但不单独或分别组织只有一个供应商参加的现场考察和答疑会。</w:t>
      </w:r>
      <w:r/>
    </w:p>
    <w:p>
      <w:pPr>
        <w:ind w:firstLine="482"/>
        <w:keepLines/>
        <w:keepNext/>
        <w:spacing w:before="156" w:after="156" w:line="360" w:lineRule="auto"/>
        <w:rPr>
          <w:rFonts w:ascii="Times New Roman" w:hAnsi="Times New Roman"/>
          <w:b/>
          <w:bCs/>
          <w:sz w:val="32"/>
          <w:szCs w:val="32"/>
        </w:rPr>
        <w:outlineLvl w:val="2"/>
      </w:pPr>
      <w:r/>
      <w:bookmarkStart w:id="77" w:name="_Toc462564072"/>
      <w:r/>
      <w:bookmarkStart w:id="78" w:name="_Toc120614216"/>
      <w:r/>
      <w:bookmarkStart w:id="79" w:name="_Toc16938529"/>
      <w:r/>
      <w:bookmarkStart w:id="80" w:name="_Toc513029213"/>
      <w:r/>
      <w:bookmarkStart w:id="81" w:name="_Toc20823285"/>
      <w:r>
        <w:rPr>
          <w:rFonts w:hint="eastAsia" w:ascii="Times New Roman" w:hAnsi="Times New Roman"/>
          <w:b/>
          <w:bCs/>
          <w:sz w:val="32"/>
          <w:szCs w:val="32"/>
        </w:rPr>
        <w:t xml:space="preserve">三、响应文件的编制</w:t>
      </w:r>
      <w:bookmarkEnd w:id="77"/>
      <w:r/>
      <w:bookmarkEnd w:id="78"/>
      <w:r/>
      <w:bookmarkEnd w:id="79"/>
      <w:r/>
      <w:bookmarkEnd w:id="80"/>
      <w:r/>
      <w:bookmarkEnd w:id="81"/>
      <w:r/>
      <w:r/>
    </w:p>
    <w:p>
      <w:pPr>
        <w:ind w:firstLine="560"/>
        <w:keepLines/>
        <w:keepNext/>
        <w:rPr>
          <w:rFonts w:ascii="Arial" w:hAnsi="Arial" w:eastAsia="黑体" w:cs="Arial"/>
          <w:b/>
          <w:sz w:val="28"/>
          <w:szCs w:val="28"/>
        </w:rPr>
        <w:outlineLvl w:val="3"/>
      </w:pPr>
      <w:r/>
      <w:bookmarkStart w:id="82" w:name="_Toc20823286"/>
      <w:r/>
      <w:bookmarkStart w:id="83" w:name="_Toc513029214"/>
      <w:r/>
      <w:bookmarkStart w:id="84" w:name="_Toc16938530"/>
      <w:r/>
      <w:bookmarkStart w:id="85" w:name="_Toc462564073"/>
      <w:r>
        <w:rPr>
          <w:rFonts w:hint="eastAsia" w:ascii="Arial" w:hAnsi="Arial" w:eastAsia="黑体" w:cs="Arial"/>
          <w:sz w:val="28"/>
          <w:szCs w:val="28"/>
        </w:rPr>
        <w:t xml:space="preserve">9</w:t>
      </w:r>
      <w:r>
        <w:rPr>
          <w:rFonts w:hint="eastAsia" w:ascii="Arial" w:hAnsi="Arial" w:eastAsia="黑体" w:cs="Arial"/>
          <w:sz w:val="28"/>
          <w:szCs w:val="28"/>
        </w:rPr>
        <w:t xml:space="preserve">、响应文件的语言及度量衡单位</w:t>
      </w:r>
      <w:bookmarkEnd w:id="82"/>
      <w:r/>
      <w:bookmarkEnd w:id="83"/>
      <w:r/>
      <w:bookmarkEnd w:id="84"/>
      <w:r/>
      <w:bookmarkEnd w:id="85"/>
      <w:r/>
      <w:r/>
    </w:p>
    <w:p>
      <w:pPr>
        <w:ind w:firstLine="480"/>
        <w:spacing w:line="50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420"/>
        <w:keepLines/>
        <w:keepNext/>
        <w:rPr>
          <w:rFonts w:ascii="Arial" w:hAnsi="Arial" w:eastAsia="黑体" w:cs="Arial"/>
          <w:sz w:val="28"/>
          <w:szCs w:val="28"/>
        </w:rPr>
        <w:outlineLvl w:val="3"/>
      </w:pPr>
      <w:r/>
      <w:bookmarkStart w:id="86" w:name="_Toc462564074"/>
      <w:r/>
      <w:bookmarkStart w:id="87" w:name="_Toc513029215"/>
      <w:r/>
      <w:bookmarkStart w:id="88" w:name="_Toc16938531"/>
      <w:r/>
      <w:bookmarkStart w:id="89" w:name="_Toc20823287"/>
      <w:r>
        <w:rPr>
          <w:rFonts w:hint="eastAsia" w:ascii="Arial" w:hAnsi="Arial" w:eastAsia="黑体" w:cs="Arial"/>
          <w:sz w:val="28"/>
          <w:szCs w:val="28"/>
        </w:rPr>
        <w:t xml:space="preserve">10</w:t>
      </w:r>
      <w:r>
        <w:rPr>
          <w:rFonts w:hint="eastAsia" w:ascii="Arial" w:hAnsi="Arial" w:eastAsia="黑体" w:cs="Arial"/>
          <w:sz w:val="28"/>
          <w:szCs w:val="28"/>
        </w:rPr>
        <w:t xml:space="preserve">、响应文件构成</w:t>
      </w:r>
      <w:bookmarkEnd w:id="86"/>
      <w:r/>
      <w:bookmarkEnd w:id="87"/>
      <w:r/>
      <w:bookmarkEnd w:id="88"/>
      <w:r/>
      <w:bookmarkEnd w:id="89"/>
      <w:r/>
      <w:r/>
    </w:p>
    <w:p>
      <w:pPr>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w:t>
      </w:r>
      <w:r>
        <w:rPr>
          <w:rFonts w:hint="eastAsia" w:ascii="宋体" w:hAnsi="宋体"/>
          <w:sz w:val="24"/>
        </w:rPr>
        <w:t xml:space="preserve">供应商</w:t>
      </w:r>
      <w:r>
        <w:rPr>
          <w:rFonts w:ascii="宋体" w:hAnsi="宋体"/>
          <w:sz w:val="24"/>
        </w:rPr>
        <w:t xml:space="preserve">可以对本项目的其中一个采购包进行</w:t>
      </w:r>
      <w:r>
        <w:rPr>
          <w:rFonts w:hint="eastAsia" w:ascii="宋体" w:hAnsi="宋体"/>
          <w:sz w:val="24"/>
        </w:rPr>
        <w:t xml:space="preserve">响应</w:t>
      </w:r>
      <w:r>
        <w:rPr>
          <w:rFonts w:ascii="宋体" w:hAnsi="宋体"/>
          <w:sz w:val="24"/>
        </w:rPr>
        <w:t xml:space="preserve">，也可同时对多个采购包进行</w:t>
      </w:r>
      <w:r>
        <w:rPr>
          <w:rFonts w:hint="eastAsia" w:ascii="宋体" w:hAnsi="宋体"/>
          <w:sz w:val="24"/>
        </w:rPr>
        <w:t xml:space="preserve">响应</w:t>
      </w:r>
      <w:r>
        <w:rPr>
          <w:rFonts w:ascii="宋体" w:hAnsi="宋体"/>
          <w:sz w:val="24"/>
        </w:rPr>
        <w:t xml:space="preserve">。</w:t>
      </w:r>
      <w:r>
        <w:rPr>
          <w:rFonts w:hint="eastAsia" w:ascii="宋体" w:hAnsi="宋体"/>
          <w:i/>
          <w:sz w:val="24"/>
          <w:u w:val="single"/>
        </w:rPr>
        <w:t xml:space="preserve">供应商</w:t>
      </w:r>
      <w:r>
        <w:rPr>
          <w:rFonts w:ascii="宋体" w:hAnsi="宋体"/>
          <w:i/>
          <w:sz w:val="24"/>
          <w:u w:val="single"/>
        </w:rPr>
        <w:t xml:space="preserve">应当对所投采购包对应《采购需求》所列的全部内容进行</w:t>
      </w:r>
      <w:r>
        <w:rPr>
          <w:rFonts w:hint="eastAsia" w:ascii="宋体" w:hAnsi="宋体"/>
          <w:i/>
          <w:sz w:val="24"/>
          <w:u w:val="single"/>
        </w:rPr>
        <w:t xml:space="preserve">响应</w:t>
      </w:r>
      <w:r>
        <w:rPr>
          <w:rFonts w:ascii="宋体" w:hAnsi="宋体"/>
          <w:i/>
          <w:sz w:val="24"/>
          <w:u w:val="single"/>
        </w:rPr>
        <w:t xml:space="preserve">，不得将一个采购包中的内容拆开</w:t>
      </w:r>
      <w:r>
        <w:rPr>
          <w:rFonts w:hint="eastAsia" w:ascii="宋体" w:hAnsi="宋体"/>
          <w:i/>
          <w:sz w:val="24"/>
          <w:u w:val="single"/>
        </w:rPr>
        <w:t xml:space="preserve">响应</w:t>
      </w:r>
      <w:r>
        <w:rPr>
          <w:rFonts w:ascii="宋体" w:hAnsi="宋体"/>
          <w:i/>
          <w:sz w:val="24"/>
          <w:u w:val="single"/>
        </w:rPr>
        <w:t xml:space="preserve">，否则其对该采购包的</w:t>
      </w:r>
      <w:r>
        <w:rPr>
          <w:rFonts w:hint="eastAsia" w:ascii="宋体" w:hAnsi="宋体"/>
          <w:i/>
          <w:sz w:val="24"/>
          <w:u w:val="single"/>
        </w:rPr>
        <w:t xml:space="preserve">响应</w:t>
      </w:r>
      <w:r>
        <w:rPr>
          <w:rFonts w:ascii="宋体" w:hAnsi="宋体"/>
          <w:i/>
          <w:sz w:val="24"/>
          <w:u w:val="single"/>
        </w:rPr>
        <w:t xml:space="preserve">将被认定为无效</w:t>
      </w:r>
      <w:r>
        <w:rPr>
          <w:rFonts w:hint="eastAsia" w:ascii="宋体" w:hAnsi="宋体"/>
          <w:i/>
          <w:sz w:val="24"/>
          <w:u w:val="single"/>
        </w:rPr>
        <w:t xml:space="preserve">响应</w:t>
      </w:r>
      <w:r>
        <w:rPr>
          <w:rFonts w:ascii="宋体" w:hAnsi="宋体"/>
          <w:i/>
          <w:sz w:val="24"/>
          <w:u w:val="single"/>
        </w:rPr>
        <w:t xml:space="preserve">。</w:t>
      </w:r>
      <w:r/>
    </w:p>
    <w:p>
      <w:pPr>
        <w:ind w:firstLine="480"/>
        <w:spacing w:line="440" w:lineRule="exact"/>
        <w:rPr>
          <w:rFonts w:ascii="宋体" w:hAnsi="宋体"/>
          <w:sz w:val="24"/>
          <w:szCs w:val="21"/>
        </w:rPr>
      </w:pPr>
      <w:r>
        <w:rPr>
          <w:rFonts w:hint="eastAsia" w:ascii="宋体" w:hAnsi="宋体"/>
          <w:bCs/>
          <w:sz w:val="24"/>
          <w:szCs w:val="21"/>
        </w:rPr>
        <w:t xml:space="preserve">10.2</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供应商编写的响应文件应包括资格证明文件、符合性证明文件、分项报价表、技术要求响应及偏离表、商务要求响应及偏离表、其他证明文件、磋商响应函、响应一览表等部分。</w:t>
      </w:r>
      <w:r/>
    </w:p>
    <w:p>
      <w:pPr>
        <w:ind w:firstLine="480"/>
        <w:spacing w:line="440" w:lineRule="exact"/>
        <w:rPr>
          <w:rFonts w:ascii="宋体" w:hAnsi="宋体"/>
          <w:sz w:val="24"/>
          <w:szCs w:val="21"/>
        </w:rPr>
      </w:pPr>
      <w:r>
        <w:rPr>
          <w:rFonts w:hint="eastAsia" w:ascii="宋体" w:hAnsi="宋体"/>
          <w:sz w:val="24"/>
          <w:szCs w:val="21"/>
        </w:rPr>
        <w:t xml:space="preserve">10.3如标书制作工具中格式和内容与“江苏政府采购网、常州市政府采购网”发布的磋商文件不一致，请以“江苏政府采购网、常州市政府采购网”发布的磋商文件为准。</w:t>
      </w:r>
      <w:r/>
    </w:p>
    <w:p>
      <w:pPr>
        <w:ind w:firstLine="420"/>
        <w:keepLines/>
        <w:keepNext/>
        <w:rPr>
          <w:rFonts w:ascii="Arial" w:hAnsi="Arial" w:eastAsia="黑体" w:cs="Arial"/>
          <w:sz w:val="28"/>
          <w:szCs w:val="28"/>
        </w:rPr>
        <w:outlineLvl w:val="3"/>
      </w:pPr>
      <w:r/>
      <w:bookmarkStart w:id="90" w:name="_Hlt26668975"/>
      <w:r/>
      <w:bookmarkStart w:id="91" w:name="_Hlt26670360"/>
      <w:r/>
      <w:bookmarkStart w:id="92" w:name="_Hlt26954838"/>
      <w:r/>
      <w:bookmarkStart w:id="93" w:name="_Toc513029219"/>
      <w:r/>
      <w:bookmarkStart w:id="94" w:name="_Toc49090509"/>
      <w:r/>
      <w:bookmarkStart w:id="95" w:name="_Toc14577357"/>
      <w:r/>
      <w:bookmarkStart w:id="96" w:name="_Toc513029216"/>
      <w:r/>
      <w:bookmarkStart w:id="97" w:name="_Toc14577354"/>
      <w:r/>
      <w:bookmarkStart w:id="98" w:name="_Toc49090507"/>
      <w:r/>
      <w:bookmarkStart w:id="99" w:name="_Toc14577355"/>
      <w:r/>
      <w:bookmarkStart w:id="100" w:name="_Toc49090508"/>
      <w:r/>
      <w:bookmarkEnd w:id="90"/>
      <w:r/>
      <w:bookmarkEnd w:id="91"/>
      <w:r/>
      <w:bookmarkEnd w:id="92"/>
      <w:r>
        <w:rPr>
          <w:rFonts w:hint="eastAsia" w:ascii="Arial" w:hAnsi="Arial" w:eastAsia="黑体" w:cs="Arial"/>
          <w:sz w:val="28"/>
          <w:szCs w:val="28"/>
        </w:rPr>
        <w:t xml:space="preserve">11</w:t>
      </w:r>
      <w:r>
        <w:rPr>
          <w:rFonts w:hint="eastAsia" w:ascii="Arial" w:hAnsi="Arial" w:eastAsia="黑体" w:cs="Arial"/>
          <w:sz w:val="28"/>
          <w:szCs w:val="28"/>
        </w:rPr>
        <w:t xml:space="preserve">、证明磋商响应标的</w:t>
      </w:r>
      <w:r>
        <w:rPr>
          <w:rFonts w:hint="eastAsia" w:ascii="Arial" w:hAnsi="Arial" w:eastAsia="黑体" w:cs="Arial"/>
          <w:sz w:val="28"/>
          <w:szCs w:val="28"/>
        </w:rPr>
        <w:t xml:space="preserve">符合磋商</w:t>
      </w:r>
      <w:r>
        <w:rPr>
          <w:rFonts w:hint="eastAsia" w:ascii="Arial" w:hAnsi="Arial" w:eastAsia="黑体" w:cs="Arial"/>
          <w:sz w:val="28"/>
          <w:szCs w:val="28"/>
        </w:rPr>
        <w:t xml:space="preserve">文件规定的文件</w:t>
      </w:r>
      <w:bookmarkEnd w:id="93"/>
      <w:r/>
      <w:bookmarkEnd w:id="94"/>
      <w:r/>
      <w:bookmarkEnd w:id="95"/>
      <w:r/>
      <w:bookmarkEnd w:id="96"/>
      <w:r/>
      <w:bookmarkEnd w:id="97"/>
      <w:r/>
      <w:bookmarkEnd w:id="98"/>
      <w:r/>
      <w:r/>
    </w:p>
    <w:p>
      <w:pPr>
        <w:spacing w:line="480" w:lineRule="exact"/>
        <w:rPr>
          <w:rFonts w:ascii="宋体" w:hAnsi="宋体"/>
          <w:sz w:val="24"/>
          <w:szCs w:val="24"/>
        </w:rPr>
      </w:pPr>
      <w:r>
        <w:rPr>
          <w:rFonts w:hint="eastAsia" w:ascii="宋体" w:hAnsi="宋体"/>
          <w:sz w:val="24"/>
          <w:szCs w:val="24"/>
        </w:rPr>
        <w:t xml:space="preserve">    11.1供应商应按照磋商文件要求提交证明文件，证明其及磋商响应标的</w:t>
      </w:r>
      <w:r>
        <w:rPr>
          <w:rFonts w:hint="eastAsia" w:ascii="宋体" w:hAnsi="宋体"/>
          <w:sz w:val="24"/>
          <w:szCs w:val="24"/>
        </w:rPr>
        <w:t xml:space="preserve">符合磋商</w:t>
      </w:r>
      <w:r>
        <w:rPr>
          <w:rFonts w:hint="eastAsia" w:ascii="宋体" w:hAnsi="宋体"/>
          <w:sz w:val="24"/>
          <w:szCs w:val="24"/>
        </w:rPr>
        <w:t xml:space="preserve">文件规定。</w:t>
      </w:r>
      <w:r/>
    </w:p>
    <w:p>
      <w:pPr>
        <w:ind w:firstLine="480"/>
        <w:spacing w:line="480" w:lineRule="exact"/>
        <w:rPr>
          <w:rFonts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bookmarkEnd w:id="99"/>
      <w:r/>
      <w:bookmarkEnd w:id="100"/>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、分项报价表</w:t>
      </w:r>
      <w:r/>
    </w:p>
    <w:p>
      <w:pPr>
        <w:ind w:firstLine="480"/>
        <w:spacing w:line="50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p>
    <w:p>
      <w:pPr>
        <w:ind w:firstLine="480"/>
        <w:spacing w:line="50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ind w:firstLine="420"/>
        <w:keepLines/>
        <w:keepNext/>
        <w:rPr>
          <w:rFonts w:ascii="Arial" w:hAnsi="Arial" w:eastAsia="黑体" w:cs="Arial"/>
          <w:sz w:val="28"/>
          <w:szCs w:val="28"/>
        </w:rPr>
        <w:outlineLvl w:val="3"/>
      </w:pPr>
      <w:r/>
      <w:bookmarkStart w:id="101" w:name="_Hlt26954731"/>
      <w:r/>
      <w:bookmarkStart w:id="102" w:name="_Hlt26954848"/>
      <w:r/>
      <w:bookmarkStart w:id="103" w:name="_Hlt26670482"/>
      <w:r/>
      <w:bookmarkStart w:id="104" w:name="_Hlt26670486"/>
      <w:r/>
      <w:bookmarkStart w:id="105" w:name="_Hlt26954846"/>
      <w:r/>
      <w:bookmarkEnd w:id="101"/>
      <w:r/>
      <w:bookmarkEnd w:id="102"/>
      <w:r/>
      <w:bookmarkEnd w:id="103"/>
      <w:r/>
      <w:bookmarkEnd w:id="104"/>
      <w:r/>
      <w:bookmarkEnd w:id="105"/>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480" w:lineRule="exact"/>
        <w:rPr>
          <w:rFonts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ascii="宋体" w:hAnsi="宋体"/>
          <w:sz w:val="24"/>
          <w:szCs w:val="24"/>
        </w:rPr>
      </w:pPr>
      <w:r>
        <w:rPr>
          <w:rFonts w:hint="eastAsia" w:ascii="宋体" w:hAnsi="宋体"/>
          <w:sz w:val="24"/>
          <w:szCs w:val="24"/>
        </w:rPr>
        <w:t xml:space="preserve">14.2供应商需根据磋商文件要求提供培训计划。</w:t>
      </w:r>
      <w:r/>
    </w:p>
    <w:p>
      <w:pPr>
        <w:ind w:firstLine="480"/>
        <w:spacing w:line="480" w:lineRule="exact"/>
        <w:rPr>
          <w:rFonts w:ascii="宋体" w:hAnsi="宋体"/>
          <w:sz w:val="24"/>
          <w:szCs w:val="24"/>
        </w:rPr>
      </w:pPr>
      <w:r>
        <w:rPr>
          <w:rFonts w:hint="eastAsia" w:ascii="宋体" w:hAnsi="宋体"/>
          <w:sz w:val="24"/>
          <w:szCs w:val="24"/>
        </w:rPr>
        <w:t xml:space="preserve">14.3供应商需根据磋商文件要求</w:t>
      </w:r>
      <w:r>
        <w:rPr>
          <w:rFonts w:hint="eastAsia" w:ascii="宋体" w:hAnsi="宋体"/>
          <w:sz w:val="24"/>
          <w:szCs w:val="24"/>
        </w:rPr>
        <w:t xml:space="preserve">提供</w:t>
      </w:r>
      <w:r>
        <w:rPr>
          <w:rFonts w:hint="eastAsia" w:ascii="宋体" w:hAnsi="Arial" w:cs="宋体"/>
          <w:sz w:val="24"/>
          <w:szCs w:val="21"/>
          <w:lang w:val="zh-CN"/>
        </w:rPr>
        <w:t xml:space="preserve">磋商</w:t>
      </w:r>
      <w:r>
        <w:rPr>
          <w:rFonts w:hint="eastAsia" w:ascii="宋体" w:hAnsi="Arial" w:cs="宋体"/>
          <w:sz w:val="24"/>
          <w:szCs w:val="21"/>
          <w:lang w:val="zh-CN"/>
        </w:rPr>
        <w:t xml:space="preserve">响应标的的主要组成部分、功能设计、实现思路及关键技术等。</w:t>
      </w:r>
      <w:r/>
    </w:p>
    <w:p>
      <w:pPr>
        <w:ind w:firstLine="420"/>
        <w:keepLines/>
        <w:keepNext/>
        <w:rPr>
          <w:rFonts w:ascii="Arial" w:hAnsi="Arial" w:eastAsia="黑体" w:cs="Arial"/>
          <w:sz w:val="28"/>
          <w:szCs w:val="28"/>
        </w:rPr>
        <w:outlineLvl w:val="3"/>
      </w:pPr>
      <w:r/>
      <w:bookmarkStart w:id="106" w:name="_Toc14577359"/>
      <w:r/>
      <w:bookmarkStart w:id="107" w:name="_Toc49090510"/>
      <w:r>
        <w:rPr>
          <w:rFonts w:hint="eastAsia" w:ascii="Arial" w:hAnsi="Arial" w:eastAsia="黑体" w:cs="Arial"/>
          <w:sz w:val="28"/>
          <w:szCs w:val="28"/>
        </w:rPr>
        <w:t xml:space="preserve">15</w:t>
      </w:r>
      <w:r>
        <w:rPr>
          <w:rFonts w:hint="eastAsia" w:ascii="Arial" w:hAnsi="Arial" w:eastAsia="黑体" w:cs="Arial"/>
          <w:sz w:val="28"/>
          <w:szCs w:val="28"/>
        </w:rPr>
        <w:t xml:space="preserve">、磋商响应函、响应一览表</w:t>
      </w:r>
      <w:r/>
    </w:p>
    <w:p>
      <w:pPr>
        <w:ind w:firstLine="480"/>
        <w:spacing w:line="50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w:t>
      </w:r>
      <w:r>
        <w:rPr>
          <w:rFonts w:hint="eastAsia" w:ascii="宋体" w:hAnsi="宋体"/>
          <w:sz w:val="24"/>
          <w:szCs w:val="21"/>
        </w:rPr>
        <w:t xml:space="preserve">填写磋商</w:t>
      </w:r>
      <w:r>
        <w:rPr>
          <w:rFonts w:hint="eastAsia" w:ascii="宋体" w:hAnsi="宋体"/>
          <w:sz w:val="24"/>
          <w:szCs w:val="21"/>
        </w:rPr>
        <w:t xml:space="preserve">响应函、</w:t>
      </w:r>
      <w:r>
        <w:rPr>
          <w:rFonts w:hint="eastAsia" w:ascii="宋体" w:hAnsi="宋体"/>
          <w:bCs/>
          <w:sz w:val="24"/>
        </w:rPr>
        <w:t xml:space="preserve">响应一览表</w:t>
      </w:r>
      <w:r>
        <w:rPr>
          <w:rFonts w:hint="eastAsia" w:ascii="宋体" w:hAnsi="宋体"/>
          <w:sz w:val="24"/>
          <w:szCs w:val="21"/>
        </w:rPr>
        <w:t xml:space="preserve">。</w:t>
      </w:r>
      <w:r/>
    </w:p>
    <w:p>
      <w:pPr>
        <w:ind w:firstLine="480"/>
        <w:spacing w:line="500" w:lineRule="exact"/>
        <w:rPr>
          <w:rFonts w:ascii="宋体" w:hAnsi="宋体"/>
          <w:sz w:val="24"/>
        </w:rPr>
      </w:pPr>
      <w:r/>
      <w:bookmarkStart w:id="108" w:name="_Toc49090511"/>
      <w:r/>
      <w:bookmarkStart w:id="109" w:name="_Toc14577360"/>
      <w:r/>
      <w:bookmarkEnd w:id="106"/>
      <w:r/>
      <w:bookmarkEnd w:id="107"/>
      <w:r>
        <w:rPr>
          <w:rFonts w:hint="eastAsia" w:ascii="宋体" w:hAnsi="宋体"/>
          <w:bCs/>
          <w:sz w:val="24"/>
        </w:rPr>
        <w:t xml:space="preserve">15.2</w:t>
      </w:r>
      <w:r>
        <w:rPr>
          <w:rFonts w:hint="eastAsia" w:ascii="宋体" w:hAnsi="宋体"/>
          <w:sz w:val="24"/>
        </w:rPr>
        <w:t xml:space="preserve"> 对于采用货币报价的项目，</w:t>
      </w:r>
      <w:r>
        <w:rPr>
          <w:rFonts w:hint="eastAsia" w:ascii="宋体" w:hAnsi="宋体"/>
          <w:bCs/>
          <w:sz w:val="24"/>
        </w:rPr>
        <w:t xml:space="preserve">响应一览表中的总报价应与分项报价表中的总报价一致，如不一致，</w:t>
      </w:r>
      <w:r>
        <w:rPr>
          <w:rFonts w:hint="eastAsia" w:ascii="宋体" w:hAnsi="宋体"/>
          <w:sz w:val="24"/>
          <w:szCs w:val="24"/>
        </w:rPr>
        <w:t xml:space="preserve">不作为无效</w:t>
      </w:r>
      <w:r>
        <w:rPr>
          <w:rFonts w:hint="eastAsia" w:ascii="宋体" w:hAnsi="宋体"/>
          <w:bCs/>
          <w:sz w:val="24"/>
        </w:rPr>
        <w:t xml:space="preserve">响应</w:t>
      </w:r>
      <w:r>
        <w:rPr>
          <w:rFonts w:hint="eastAsia" w:ascii="宋体" w:hAnsi="宋体"/>
          <w:sz w:val="24"/>
          <w:szCs w:val="24"/>
        </w:rPr>
        <w:t xml:space="preserve">处理</w:t>
      </w:r>
      <w:r>
        <w:rPr>
          <w:rFonts w:hint="eastAsia" w:ascii="宋体" w:hAnsi="宋体"/>
          <w:bCs/>
          <w:sz w:val="24"/>
        </w:rPr>
        <w:t xml:space="preserve">，但评审时按响应一览表中价格为准</w:t>
      </w:r>
      <w:r>
        <w:rPr>
          <w:rFonts w:hint="eastAsia" w:ascii="宋体" w:hAnsi="宋体"/>
          <w:b/>
          <w:bCs/>
          <w:sz w:val="24"/>
        </w:rPr>
        <w:t xml:space="preserve">。</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16</w:t>
      </w:r>
      <w:r>
        <w:rPr>
          <w:rFonts w:hint="eastAsia" w:ascii="Arial" w:hAnsi="Arial" w:eastAsia="黑体" w:cs="Arial"/>
          <w:sz w:val="28"/>
          <w:szCs w:val="28"/>
        </w:rPr>
        <w:t xml:space="preserve">、磋商有效期</w:t>
      </w:r>
      <w:bookmarkEnd w:id="108"/>
      <w:r/>
      <w:bookmarkEnd w:id="109"/>
      <w:r/>
      <w:r/>
    </w:p>
    <w:p>
      <w:pPr>
        <w:ind w:firstLine="480"/>
        <w:spacing w:line="500" w:lineRule="exact"/>
        <w:rPr>
          <w:rFonts w:ascii="宋体" w:hAnsi="宋体"/>
          <w:bCs/>
          <w:sz w:val="24"/>
          <w:szCs w:val="21"/>
        </w:rPr>
      </w:pPr>
      <w:r>
        <w:rPr>
          <w:rFonts w:hint="eastAsia" w:ascii="宋体" w:hAnsi="宋体"/>
          <w:bCs/>
          <w:sz w:val="24"/>
          <w:szCs w:val="21"/>
        </w:rPr>
        <w:t xml:space="preserve">16.1磋商有效期为采购中心规定的提交响应文件截止之日后</w:t>
      </w:r>
      <w:r>
        <w:rPr>
          <w:rFonts w:hint="eastAsia" w:ascii="仿宋_GB2312" w:hAnsi="仿宋_GB2312"/>
          <w:b/>
          <w:sz w:val="24"/>
          <w:szCs w:val="21"/>
          <w:u w:val="single"/>
        </w:rPr>
        <w:t xml:space="preserve">六十（</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。磋商有效期比规定短的将被视为非实质性响应磋商文件而予以拒绝。</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p>
    <w:p>
      <w:pPr>
        <w:ind w:firstLine="480"/>
        <w:spacing w:line="500" w:lineRule="exact"/>
        <w:rPr>
          <w:rFonts w:ascii="宋体" w:hAnsi="宋体"/>
          <w:bCs/>
          <w:sz w:val="24"/>
          <w:szCs w:val="21"/>
        </w:rPr>
      </w:pPr>
      <w:r>
        <w:rPr>
          <w:rFonts w:hint="eastAsia" w:ascii="宋体" w:hAnsi="宋体"/>
          <w:bCs/>
          <w:sz w:val="24"/>
          <w:szCs w:val="21"/>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ind w:firstLine="482"/>
        <w:keepLines/>
        <w:keepNext/>
        <w:spacing w:before="156" w:after="156" w:line="360" w:lineRule="auto"/>
        <w:rPr>
          <w:rFonts w:ascii="Times New Roman" w:hAnsi="Times New Roman"/>
          <w:b/>
          <w:bCs/>
          <w:sz w:val="32"/>
          <w:szCs w:val="32"/>
        </w:rPr>
        <w:outlineLvl w:val="2"/>
      </w:pPr>
      <w:r/>
      <w:bookmarkStart w:id="110" w:name="_Hlt26954852"/>
      <w:r/>
      <w:bookmarkStart w:id="111" w:name="_Hlt26954739"/>
      <w:r/>
      <w:bookmarkStart w:id="112" w:name="_Toc20823296"/>
      <w:r/>
      <w:bookmarkStart w:id="113" w:name="_Toc120614217"/>
      <w:r/>
      <w:bookmarkStart w:id="114" w:name="_Toc16938540"/>
      <w:r/>
      <w:bookmarkStart w:id="115" w:name="_Toc513029224"/>
      <w:r/>
      <w:bookmarkEnd w:id="110"/>
      <w:r/>
      <w:bookmarkEnd w:id="111"/>
      <w:r>
        <w:rPr>
          <w:rFonts w:hint="eastAsia" w:ascii="Times New Roman" w:hAnsi="Times New Roman"/>
          <w:b/>
          <w:bCs/>
          <w:sz w:val="32"/>
          <w:szCs w:val="32"/>
        </w:rPr>
        <w:t xml:space="preserve">四、响应文件的递交</w:t>
      </w:r>
      <w:bookmarkEnd w:id="112"/>
      <w:r/>
      <w:bookmarkEnd w:id="113"/>
      <w:r/>
      <w:bookmarkEnd w:id="114"/>
      <w:r/>
      <w:bookmarkEnd w:id="115"/>
      <w:r/>
      <w:r/>
    </w:p>
    <w:p>
      <w:pPr>
        <w:ind w:firstLine="560"/>
        <w:keepLines/>
        <w:keepNext/>
        <w:rPr>
          <w:rFonts w:ascii="黑体" w:hAnsi="Arial" w:eastAsia="黑体" w:cs="Arial"/>
          <w:sz w:val="28"/>
          <w:szCs w:val="28"/>
        </w:rPr>
        <w:outlineLvl w:val="3"/>
      </w:pPr>
      <w:r/>
      <w:bookmarkStart w:id="116" w:name="_Toc20823297"/>
      <w:r/>
      <w:bookmarkStart w:id="117" w:name="_Toc462564084"/>
      <w:r/>
      <w:bookmarkStart w:id="118" w:name="_Toc513029225"/>
      <w:r/>
      <w:bookmarkStart w:id="119"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6"/>
      <w:r/>
      <w:bookmarkEnd w:id="117"/>
      <w:r/>
      <w:bookmarkEnd w:id="118"/>
      <w:r/>
      <w:bookmarkEnd w:id="119"/>
      <w:r>
        <w:rPr>
          <w:rFonts w:hint="eastAsia" w:ascii="黑体" w:hAnsi="Arial" w:eastAsia="黑体" w:cs="Arial"/>
          <w:sz w:val="28"/>
          <w:szCs w:val="28"/>
        </w:rPr>
        <w:t xml:space="preserve">响应文件的递交</w:t>
      </w:r>
      <w:r/>
    </w:p>
    <w:p>
      <w:pPr>
        <w:ind w:firstLine="600"/>
        <w:rPr>
          <w:rFonts w:ascii="宋体" w:hAnsi="宋体"/>
          <w:bCs/>
          <w:sz w:val="24"/>
          <w:szCs w:val="21"/>
        </w:rPr>
      </w:pPr>
      <w:r>
        <w:rPr>
          <w:rFonts w:hint="eastAsia" w:ascii="宋体" w:hAnsi="宋体"/>
          <w:bCs/>
          <w:sz w:val="24"/>
          <w:szCs w:val="21"/>
        </w:rPr>
        <w:t xml:space="preserve">18.1供应商应当按照《操作手册》规定，在提交响应文件截止时间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并上传电子响应文件。</w:t>
      </w:r>
      <w:bookmarkStart w:id="120" w:name="_Toc513029226"/>
      <w:r/>
      <w:bookmarkStart w:id="121" w:name="_Toc16938542"/>
      <w:r/>
      <w:bookmarkStart w:id="122" w:name="_Toc20823298"/>
      <w:r/>
      <w:r/>
    </w:p>
    <w:p>
      <w:pPr>
        <w:ind w:firstLine="560"/>
        <w:keepLines/>
        <w:keepNext/>
        <w:spacing w:before="280" w:after="290" w:line="376" w:lineRule="auto"/>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0"/>
      <w:r/>
      <w:bookmarkEnd w:id="121"/>
      <w:r/>
      <w:bookmarkEnd w:id="122"/>
      <w:r/>
      <w:r/>
    </w:p>
    <w:p>
      <w:pPr>
        <w:ind w:firstLine="480"/>
        <w:spacing w:line="500" w:lineRule="exact"/>
        <w:rPr>
          <w:rFonts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供应商上传电子响应文件的时间不得迟于磋商公告中规定的提交响应文件截止时间。</w:t>
      </w:r>
      <w:r/>
    </w:p>
    <w:p>
      <w:pPr>
        <w:ind w:firstLine="480"/>
        <w:spacing w:line="500" w:lineRule="exact"/>
        <w:rPr>
          <w:rFonts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w:t>
      </w:r>
      <w:r>
        <w:rPr>
          <w:rFonts w:hint="eastAsia" w:ascii="宋体" w:hAnsi="宋体"/>
          <w:bCs/>
          <w:sz w:val="24"/>
          <w:szCs w:val="21"/>
        </w:rPr>
        <w:t xml:space="preserve">应文件上传不成功的按照本磋商文件第二章第26.3.2条规定做无效响应处理。</w:t>
      </w:r>
      <w:r/>
    </w:p>
    <w:p>
      <w:pPr>
        <w:ind w:firstLine="480"/>
        <w:spacing w:line="50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Arial" w:hAnsi="Arial" w:eastAsia="黑体" w:cs="Arial"/>
          <w:sz w:val="28"/>
          <w:szCs w:val="28"/>
        </w:rPr>
        <w:outlineLvl w:val="3"/>
      </w:pPr>
      <w:r/>
      <w:bookmarkStart w:id="123" w:name="_Toc20823299"/>
      <w:r/>
      <w:bookmarkStart w:id="124" w:name="_Toc513029227"/>
      <w:r/>
      <w:bookmarkStart w:id="125"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3"/>
      <w:r/>
      <w:bookmarkEnd w:id="124"/>
      <w:r/>
      <w:bookmarkEnd w:id="125"/>
      <w:r>
        <w:rPr>
          <w:rFonts w:hint="eastAsia" w:ascii="Arial" w:hAnsi="Arial" w:eastAsia="黑体" w:cs="Arial"/>
          <w:sz w:val="28"/>
          <w:szCs w:val="28"/>
        </w:rPr>
        <w:t xml:space="preserve">的拒收</w:t>
      </w:r>
      <w:r/>
    </w:p>
    <w:p>
      <w:pPr>
        <w:ind w:firstLine="480"/>
        <w:spacing w:line="500" w:lineRule="exact"/>
        <w:rPr>
          <w:rFonts w:ascii="宋体" w:hAnsi="宋体"/>
          <w:bCs/>
          <w:sz w:val="24"/>
          <w:szCs w:val="21"/>
        </w:rPr>
      </w:pPr>
      <w:r>
        <w:rPr>
          <w:rFonts w:hint="eastAsia" w:ascii="宋体" w:hAnsi="宋体"/>
          <w:bCs/>
          <w:sz w:val="24"/>
          <w:szCs w:val="21"/>
        </w:rPr>
        <w:t xml:space="preserve">20.1 采购中心拒绝接收在其规定的提交响应文件截止时间后上传的任何电子响应文件。</w:t>
      </w:r>
      <w:r/>
    </w:p>
    <w:p>
      <w:pPr>
        <w:ind w:firstLine="420"/>
        <w:keepLines/>
        <w:keepNext/>
        <w:rPr>
          <w:rFonts w:ascii="Arial" w:hAnsi="Arial" w:eastAsia="黑体" w:cs="Arial"/>
          <w:sz w:val="28"/>
          <w:szCs w:val="28"/>
        </w:rPr>
        <w:outlineLvl w:val="3"/>
      </w:pPr>
      <w:r/>
      <w:bookmarkStart w:id="126" w:name="_Toc513029228"/>
      <w:r/>
      <w:bookmarkStart w:id="127" w:name="_Toc16938544"/>
      <w:r/>
      <w:bookmarkStart w:id="128"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6"/>
      <w:r/>
      <w:bookmarkEnd w:id="127"/>
      <w:r/>
      <w:bookmarkEnd w:id="128"/>
      <w:r/>
      <w:r/>
    </w:p>
    <w:p>
      <w:pPr>
        <w:ind w:firstLine="480"/>
        <w:spacing w:line="48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48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ind w:firstLine="480"/>
        <w:spacing w:line="48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48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ind w:firstLine="482"/>
        <w:keepLines/>
        <w:keepNext/>
        <w:spacing w:before="156" w:after="156" w:line="360" w:lineRule="auto"/>
        <w:rPr>
          <w:rFonts w:ascii="Times New Roman" w:hAnsi="Times New Roman"/>
          <w:b/>
          <w:bCs/>
          <w:sz w:val="32"/>
          <w:szCs w:val="32"/>
        </w:rPr>
        <w:outlineLvl w:val="2"/>
      </w:pPr>
      <w:r/>
      <w:bookmarkStart w:id="129" w:name="_Toc513029229"/>
      <w:r/>
      <w:bookmarkStart w:id="130" w:name="_Toc16938545"/>
      <w:r/>
      <w:bookmarkStart w:id="131" w:name="_Toc120614218"/>
      <w:r/>
      <w:bookmarkStart w:id="132" w:name="_Toc20823301"/>
      <w:r>
        <w:rPr>
          <w:rFonts w:hint="eastAsia" w:ascii="Times New Roman" w:hAnsi="Times New Roman"/>
          <w:b/>
          <w:bCs/>
          <w:sz w:val="32"/>
          <w:szCs w:val="32"/>
        </w:rPr>
        <w:t xml:space="preserve">五、响应文件的解密与评审</w:t>
      </w:r>
      <w:bookmarkEnd w:id="129"/>
      <w:r/>
      <w:bookmarkEnd w:id="130"/>
      <w:r/>
      <w:bookmarkEnd w:id="131"/>
      <w:r/>
      <w:bookmarkEnd w:id="132"/>
      <w:r/>
      <w:r/>
    </w:p>
    <w:p>
      <w:pPr>
        <w:ind w:firstLine="420"/>
        <w:keepLines/>
        <w:keepNext/>
        <w:rPr>
          <w:rFonts w:ascii="Arial" w:hAnsi="Arial" w:eastAsia="黑体" w:cs="Arial"/>
          <w:sz w:val="28"/>
          <w:szCs w:val="28"/>
        </w:rPr>
        <w:outlineLvl w:val="3"/>
      </w:pPr>
      <w:r/>
      <w:bookmarkStart w:id="133" w:name="_Toc20823302"/>
      <w:r/>
      <w:bookmarkStart w:id="134" w:name="_Toc16938546"/>
      <w:r/>
      <w:bookmarkStart w:id="135" w:name="_Toc513029230"/>
      <w:r>
        <w:rPr>
          <w:rFonts w:hint="eastAsia" w:ascii="Arial" w:hAnsi="Arial" w:eastAsia="黑体" w:cs="Arial"/>
          <w:sz w:val="28"/>
          <w:szCs w:val="28"/>
        </w:rPr>
        <w:t xml:space="preserve">22</w:t>
      </w:r>
      <w:r>
        <w:rPr>
          <w:rFonts w:hint="eastAsia" w:ascii="Arial" w:hAnsi="Arial" w:eastAsia="黑体" w:cs="Arial"/>
          <w:sz w:val="28"/>
          <w:szCs w:val="28"/>
        </w:rPr>
        <w:t xml:space="preserve">、</w:t>
      </w:r>
      <w:bookmarkEnd w:id="133"/>
      <w:r/>
      <w:bookmarkEnd w:id="134"/>
      <w:r/>
      <w:bookmarkEnd w:id="135"/>
      <w:r>
        <w:rPr>
          <w:rFonts w:hint="eastAsia" w:ascii="Arial" w:hAnsi="Arial" w:eastAsia="黑体" w:cs="Arial"/>
          <w:sz w:val="28"/>
          <w:szCs w:val="28"/>
        </w:rPr>
        <w:t xml:space="preserve">响应文件解密</w:t>
      </w:r>
      <w:r/>
    </w:p>
    <w:p>
      <w:pPr>
        <w:ind w:firstLine="360"/>
        <w:rPr>
          <w:rFonts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规定的时间内对磋商响应文件进行解密。</w:t>
      </w:r>
      <w:r/>
    </w:p>
    <w:p>
      <w:pPr>
        <w:ind w:firstLine="420"/>
        <w:keepLines/>
        <w:keepNext/>
        <w:rPr>
          <w:rFonts w:ascii="Arial" w:hAnsi="Arial" w:eastAsia="黑体" w:cs="Arial"/>
          <w:sz w:val="28"/>
          <w:szCs w:val="28"/>
        </w:rPr>
        <w:outlineLvl w:val="3"/>
      </w:pPr>
      <w:r/>
      <w:bookmarkStart w:id="136" w:name="_Toc16938547"/>
      <w:r/>
      <w:bookmarkStart w:id="137" w:name="_Toc513029231"/>
      <w:r/>
      <w:bookmarkStart w:id="138"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.1采购中心将组织磋商小组对响应文件进行评审。磋商小组由采购人代表和有关技术、经济等方面的专家组成，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.2磋商小组独立工作，负责评审所有响应文件并确定成交候选人。</w:t>
      </w:r>
      <w:r/>
    </w:p>
    <w:p>
      <w:pPr>
        <w:ind w:firstLine="420"/>
        <w:keepLines/>
        <w:keepNex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136"/>
      <w:r/>
      <w:bookmarkEnd w:id="137"/>
      <w:r/>
      <w:bookmarkEnd w:id="138"/>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w:t>
      </w:r>
      <w:r>
        <w:rPr>
          <w:rFonts w:hint="eastAsia" w:ascii="宋体" w:hAnsi="宋体"/>
          <w:bCs/>
          <w:sz w:val="24"/>
          <w:szCs w:val="21"/>
        </w:rPr>
        <w:t xml:space="preserve">评审情况以及在评审过程中获悉的国家秘密、商业秘密负有保密责任。</w:t>
      </w:r>
      <w:r/>
    </w:p>
    <w:p>
      <w:pPr>
        <w:ind w:firstLine="480"/>
        <w:spacing w:line="48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p>
    <w:p>
      <w:pPr>
        <w:ind w:firstLine="480"/>
        <w:spacing w:line="48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p>
    <w:p>
      <w:pPr>
        <w:ind w:firstLine="480"/>
        <w:spacing w:line="480" w:lineRule="exact"/>
        <w:rPr>
          <w:rFonts w:ascii="宋体" w:hAnsi="宋体"/>
          <w:sz w:val="24"/>
          <w:szCs w:val="24"/>
        </w:rPr>
      </w:pPr>
      <w:r>
        <w:rPr>
          <w:rFonts w:ascii="宋体" w:hAnsi="宋体"/>
          <w:sz w:val="24"/>
          <w:szCs w:val="24"/>
        </w:rPr>
        <w:t xml:space="preserve">24</w:t>
      </w:r>
      <w:r>
        <w:rPr>
          <w:rFonts w:hint="eastAsia" w:ascii="宋体" w:hAnsi="宋体"/>
          <w:sz w:val="24"/>
          <w:szCs w:val="24"/>
        </w:rPr>
        <w:t xml:space="preserve">.4 采购中心和磋商小组不向未成交的供应</w:t>
      </w:r>
      <w:r>
        <w:rPr>
          <w:rFonts w:hint="eastAsia" w:ascii="宋体" w:hAnsi="宋体"/>
          <w:sz w:val="24"/>
          <w:szCs w:val="24"/>
        </w:rPr>
        <w:t xml:space="preserve">商解释未</w:t>
      </w:r>
      <w:r>
        <w:rPr>
          <w:rFonts w:hint="eastAsia" w:ascii="宋体" w:hAnsi="宋体"/>
          <w:sz w:val="24"/>
          <w:szCs w:val="24"/>
        </w:rPr>
        <w:t xml:space="preserve">成交原因，也不公布评审过程中的相关细节。</w:t>
      </w:r>
      <w:r/>
    </w:p>
    <w:p>
      <w:pPr>
        <w:ind w:firstLine="420"/>
        <w:keepLines/>
        <w:keepNext/>
        <w:rPr>
          <w:rFonts w:ascii="Arial" w:hAnsi="Arial" w:eastAsia="黑体" w:cs="Arial"/>
          <w:sz w:val="28"/>
          <w:szCs w:val="28"/>
        </w:rPr>
        <w:outlineLvl w:val="3"/>
      </w:pPr>
      <w:r/>
      <w:bookmarkStart w:id="139" w:name="_Toc20823304"/>
      <w:r/>
      <w:bookmarkStart w:id="140" w:name="_Toc513029232"/>
      <w:r/>
      <w:bookmarkStart w:id="141"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w:t>
      </w:r>
      <w:r>
        <w:rPr>
          <w:rFonts w:hint="eastAsia" w:ascii="Arial" w:hAnsi="Arial" w:eastAsia="黑体" w:cs="Arial"/>
          <w:sz w:val="28"/>
          <w:szCs w:val="28"/>
        </w:rPr>
        <w:t xml:space="preserve">的</w:t>
      </w:r>
      <w:r>
        <w:rPr>
          <w:rFonts w:hint="eastAsia" w:ascii="Arial" w:hAnsi="Arial" w:eastAsia="黑体" w:cs="Arial"/>
          <w:sz w:val="28"/>
          <w:szCs w:val="28"/>
        </w:rPr>
        <w:t xml:space="preserve">澄清</w:t>
      </w:r>
      <w:bookmarkEnd w:id="139"/>
      <w:r/>
      <w:bookmarkEnd w:id="140"/>
      <w:r/>
      <w:bookmarkEnd w:id="141"/>
      <w:r/>
      <w:r/>
    </w:p>
    <w:p>
      <w:pPr>
        <w:ind w:firstLine="480"/>
        <w:spacing w:line="460" w:lineRule="exact"/>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w:t>
      </w:r>
      <w:r>
        <w:rPr>
          <w:rFonts w:hint="eastAsia" w:ascii="宋体" w:hAnsi="宋体" w:cs="宋体"/>
          <w:sz w:val="24"/>
          <w:szCs w:val="24"/>
        </w:rPr>
        <w:t xml:space="preserve">作出</w:t>
      </w:r>
      <w:r>
        <w:rPr>
          <w:rFonts w:hint="eastAsia" w:ascii="宋体" w:hAnsi="宋体" w:cs="宋体"/>
          <w:sz w:val="24"/>
          <w:szCs w:val="24"/>
        </w:rPr>
        <w:t xml:space="preserve">必要的澄清、说明或者更正。供应商的澄清、说明或者更正不得超出响应文件的范围或者改变响应文件的实质性内容。</w:t>
      </w:r>
      <w:r/>
    </w:p>
    <w:p>
      <w:pPr>
        <w:ind w:firstLine="480"/>
        <w:spacing w:line="460" w:lineRule="exact"/>
        <w:rPr>
          <w:rFonts w:ascii="宋体" w:hAnsi="宋体" w:cs="宋体"/>
          <w:sz w:val="24"/>
          <w:szCs w:val="24"/>
        </w:rPr>
      </w:pPr>
      <w:r>
        <w:rPr>
          <w:rFonts w:hint="eastAsia" w:ascii="宋体" w:hAnsi="宋体" w:cs="宋体"/>
          <w:sz w:val="24"/>
          <w:szCs w:val="24"/>
        </w:rPr>
        <w:t xml:space="preserve">磋商小组并非对每个供应商都作澄清要求。</w:t>
      </w:r>
      <w:r/>
    </w:p>
    <w:p>
      <w:pPr>
        <w:spacing w:line="480" w:lineRule="exact"/>
        <w:rPr>
          <w:rFonts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w:t>
      </w:r>
      <w:r>
        <w:rPr>
          <w:rFonts w:hint="eastAsia" w:ascii="宋体" w:hAnsi="宋体"/>
          <w:color w:val="ff0000"/>
          <w:sz w:val="24"/>
          <w:szCs w:val="24"/>
        </w:rPr>
        <w:t xml:space="preserve">采</w:t>
      </w:r>
      <w:r>
        <w:rPr>
          <w:rFonts w:hint="eastAsia" w:ascii="宋体" w:hAnsi="宋体"/>
          <w:color w:val="ff0000"/>
          <w:sz w:val="24"/>
          <w:szCs w:val="24"/>
        </w:rPr>
        <w:t xml:space="preserve">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480" w:lineRule="exact"/>
        <w:rPr>
          <w:rFonts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w:t>
      </w:r>
      <w:r>
        <w:rPr>
          <w:rFonts w:hint="eastAsia" w:ascii="宋体" w:hAnsi="宋体"/>
          <w:sz w:val="24"/>
          <w:szCs w:val="24"/>
        </w:rPr>
        <w:t xml:space="preserve">接到磋商</w:t>
      </w:r>
      <w:r>
        <w:rPr>
          <w:rFonts w:hint="eastAsia" w:ascii="宋体" w:hAnsi="宋体"/>
          <w:sz w:val="24"/>
          <w:szCs w:val="24"/>
        </w:rPr>
        <w:t xml:space="preserve">小组澄清、说明和更正要求的供应商如未按规定做出澄清、说明和 更正，其风险由供应商自行承担。</w:t>
      </w:r>
      <w:r/>
    </w:p>
    <w:p>
      <w:pPr>
        <w:ind w:firstLine="420"/>
        <w:keepLines/>
        <w:keepNext/>
        <w:rPr>
          <w:rFonts w:ascii="Arial" w:hAnsi="Arial" w:eastAsia="黑体" w:cs="Arial"/>
          <w:sz w:val="28"/>
          <w:szCs w:val="28"/>
        </w:rPr>
        <w:outlineLvl w:val="3"/>
      </w:pPr>
      <w:r/>
      <w:bookmarkStart w:id="142" w:name="_Toc16938549"/>
      <w:r/>
      <w:bookmarkStart w:id="143" w:name="_Toc513029233"/>
      <w:r/>
      <w:bookmarkStart w:id="144"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2"/>
      <w:r/>
      <w:bookmarkEnd w:id="143"/>
      <w:r/>
      <w:bookmarkEnd w:id="144"/>
      <w:r>
        <w:rPr>
          <w:rFonts w:hint="eastAsia" w:ascii="Arial" w:hAnsi="Arial" w:eastAsia="黑体" w:cs="Arial"/>
          <w:sz w:val="28"/>
          <w:szCs w:val="28"/>
        </w:rPr>
        <w:t xml:space="preserve">查</w:t>
      </w:r>
      <w:r/>
    </w:p>
    <w:p>
      <w:pPr>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ind w:firstLine="480"/>
        <w:spacing w:line="460" w:lineRule="exact"/>
        <w:rPr>
          <w:rFonts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w:t>
      </w:r>
      <w:r>
        <w:rPr>
          <w:rFonts w:hint="eastAsia" w:ascii="宋体" w:hAnsi="宋体"/>
          <w:bCs/>
          <w:sz w:val="24"/>
          <w:szCs w:val="21"/>
        </w:rPr>
        <w:t xml:space="preserve">具备磋商</w:t>
      </w:r>
      <w:r>
        <w:rPr>
          <w:rFonts w:hint="eastAsia" w:ascii="宋体" w:hAnsi="宋体"/>
          <w:bCs/>
          <w:sz w:val="24"/>
          <w:szCs w:val="21"/>
        </w:rPr>
        <w:t xml:space="preserve">资格,查询结果留存并归档。</w:t>
      </w:r>
      <w:r/>
    </w:p>
    <w:p>
      <w:pPr>
        <w:ind w:firstLine="480"/>
        <w:spacing w:line="46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szCs w:val="21"/>
        </w:rPr>
        <w:t xml:space="preserve">中告知未通过</w:t>
      </w:r>
      <w:r>
        <w:rPr>
          <w:rFonts w:hint="eastAsia" w:ascii="宋体" w:hAnsi="宋体"/>
          <w:bCs/>
          <w:sz w:val="24"/>
          <w:szCs w:val="21"/>
        </w:rPr>
        <w:t xml:space="preserve">资格审查或符合性审查的原因，评审结束后，磋商小组将不再告知未通过资格审查或符合性审查的原因。</w:t>
      </w:r>
      <w:r/>
    </w:p>
    <w:p>
      <w:pPr>
        <w:ind w:firstLine="480"/>
        <w:spacing w:line="48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sz w:val="24"/>
          <w:szCs w:val="24"/>
        </w:rPr>
        <w:t xml:space="preserve">响应性只根据</w:t>
      </w:r>
      <w:r>
        <w:rPr>
          <w:rFonts w:hint="eastAsia" w:ascii="宋体" w:hAnsi="宋体"/>
          <w:sz w:val="24"/>
          <w:szCs w:val="24"/>
        </w:rPr>
        <w:t xml:space="preserve">响应文件本身的内容，而不寻求外部的证据。</w:t>
      </w:r>
      <w:r/>
    </w:p>
    <w:p>
      <w:pPr>
        <w:ind w:firstLine="480"/>
        <w:spacing w:line="460" w:lineRule="exact"/>
        <w:rPr>
          <w:rFonts w:ascii="宋体" w:hAnsi="宋体"/>
          <w:bCs/>
          <w:sz w:val="24"/>
          <w:szCs w:val="21"/>
        </w:rPr>
      </w:pPr>
      <w:r>
        <w:rPr>
          <w:rFonts w:hint="eastAsia" w:ascii="宋体" w:hAnsi="宋体"/>
          <w:bCs/>
          <w:sz w:val="24"/>
          <w:szCs w:val="21"/>
        </w:rPr>
        <w:t xml:space="preserve">26.3未实质性响应磋商文件的情形</w:t>
      </w:r>
      <w:r/>
    </w:p>
    <w:p>
      <w:pPr>
        <w:ind w:firstLine="480"/>
        <w:spacing w:line="460" w:lineRule="exact"/>
        <w:rPr>
          <w:rFonts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szCs w:val="21"/>
        </w:rPr>
        <w:t xml:space="preserve">规定的时间内未成功解密电子响应文件的。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26.3.2供应商未按照磋商文件要求上传电子响应文件的。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26.3.3同</w:t>
      </w:r>
      <w:r>
        <w:rPr>
          <w:rFonts w:hint="eastAsia" w:ascii="宋体" w:hAnsi="宋体"/>
          <w:bCs/>
          <w:sz w:val="24"/>
          <w:szCs w:val="21"/>
        </w:rPr>
        <w:t xml:space="preserve">一供应</w:t>
      </w:r>
      <w:r>
        <w:rPr>
          <w:rFonts w:hint="eastAsia" w:ascii="宋体" w:hAnsi="宋体"/>
          <w:bCs/>
          <w:sz w:val="24"/>
          <w:szCs w:val="21"/>
        </w:rPr>
        <w:t xml:space="preserve">商提交两个（含两个）以上不同的响应文件或者最后报价的。</w:t>
      </w:r>
      <w:r/>
    </w:p>
    <w:p>
      <w:pPr>
        <w:ind w:firstLine="480"/>
        <w:spacing w:line="460" w:lineRule="exact"/>
        <w:rPr>
          <w:rFonts w:ascii="宋体" w:hAnsi="宋体"/>
          <w:bCs/>
          <w:sz w:val="24"/>
          <w:szCs w:val="21"/>
        </w:rPr>
      </w:pPr>
      <w:r>
        <w:rPr>
          <w:rFonts w:hint="eastAsia" w:ascii="宋体" w:hAnsi="宋体"/>
          <w:bCs/>
          <w:sz w:val="24"/>
          <w:szCs w:val="21"/>
        </w:rPr>
        <w:t xml:space="preserve">26.3.4供应商不</w:t>
      </w:r>
      <w:r>
        <w:rPr>
          <w:rFonts w:hint="eastAsia" w:ascii="宋体" w:hAnsi="宋体"/>
          <w:bCs/>
          <w:sz w:val="24"/>
          <w:szCs w:val="21"/>
        </w:rPr>
        <w:t xml:space="preserve">具备磋商</w:t>
      </w:r>
      <w:r>
        <w:rPr>
          <w:rFonts w:hint="eastAsia" w:ascii="宋体" w:hAnsi="宋体"/>
          <w:bCs/>
          <w:sz w:val="24"/>
          <w:szCs w:val="21"/>
        </w:rPr>
        <w:t xml:space="preserve">文件中规定资格要求的。</w:t>
      </w:r>
      <w:r/>
    </w:p>
    <w:p>
      <w:pPr>
        <w:ind w:firstLine="480"/>
        <w:spacing w:line="460" w:lineRule="exact"/>
        <w:rPr>
          <w:rFonts w:ascii="宋体" w:hAnsi="宋体"/>
          <w:bCs/>
          <w:sz w:val="24"/>
          <w:szCs w:val="21"/>
        </w:rPr>
      </w:pPr>
      <w:r>
        <w:rPr>
          <w:rFonts w:hint="eastAsia" w:ascii="宋体" w:hAnsi="宋体"/>
          <w:bCs/>
          <w:sz w:val="24"/>
          <w:szCs w:val="21"/>
        </w:rPr>
        <w:t xml:space="preserve">26.3.5供应商的最后报价超过了采购预算。</w:t>
      </w:r>
      <w:r/>
    </w:p>
    <w:p>
      <w:pPr>
        <w:ind w:firstLine="480"/>
        <w:spacing w:line="460" w:lineRule="exact"/>
        <w:rPr>
          <w:rFonts w:ascii="宋体" w:hAnsi="宋体"/>
          <w:bCs/>
          <w:sz w:val="24"/>
          <w:szCs w:val="21"/>
        </w:rPr>
      </w:pPr>
      <w:r>
        <w:rPr>
          <w:rFonts w:hint="eastAsia" w:ascii="宋体" w:hAnsi="宋体"/>
          <w:bCs/>
          <w:sz w:val="24"/>
          <w:szCs w:val="21"/>
        </w:rPr>
        <w:t xml:space="preserve">26.3.6不</w:t>
      </w:r>
      <w:r>
        <w:rPr>
          <w:rFonts w:hint="eastAsia" w:ascii="宋体" w:hAnsi="宋体"/>
          <w:bCs/>
          <w:sz w:val="24"/>
          <w:szCs w:val="21"/>
        </w:rPr>
        <w:t xml:space="preserve">符合磋商</w:t>
      </w:r>
      <w:r>
        <w:rPr>
          <w:rFonts w:hint="eastAsia" w:ascii="宋体" w:hAnsi="宋体"/>
          <w:bCs/>
          <w:sz w:val="24"/>
          <w:szCs w:val="21"/>
        </w:rPr>
        <w:t xml:space="preserve">文件中规定的实质性要求和条件的</w:t>
      </w:r>
      <w:r>
        <w:rPr>
          <w:rFonts w:hint="eastAsia" w:ascii="宋体" w:hAnsi="宋体"/>
          <w:b/>
          <w:bCs/>
          <w:i/>
          <w:sz w:val="24"/>
          <w:u w:val="single"/>
        </w:rPr>
        <w:t xml:space="preserve">（本磋商文件中斜体且有下划线部分、或者加“★”号的、或者以文字说明属于实质性要求的内容均为实质性要求和条件）。</w:t>
      </w:r>
      <w:r/>
    </w:p>
    <w:p>
      <w:pPr>
        <w:ind w:firstLine="480"/>
        <w:spacing w:line="460" w:lineRule="exact"/>
        <w:rPr>
          <w:rFonts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w:t>
      </w:r>
      <w:r>
        <w:rPr>
          <w:rFonts w:hint="eastAsia" w:ascii="宋体" w:hAnsi="宋体"/>
          <w:bCs/>
          <w:sz w:val="24"/>
          <w:szCs w:val="21"/>
        </w:rPr>
        <w:t xml:space="preserve">商存在</w:t>
      </w:r>
      <w:r>
        <w:rPr>
          <w:rFonts w:hint="eastAsia" w:ascii="宋体" w:hAnsi="宋体"/>
          <w:bCs/>
          <w:sz w:val="24"/>
          <w:szCs w:val="21"/>
        </w:rPr>
        <w:t xml:space="preserve">其他不符合《中华人民共和国政府采购法》第二十二条规定条件的信用记录。</w:t>
      </w:r>
      <w:r/>
    </w:p>
    <w:p>
      <w:pPr>
        <w:ind w:firstLine="480"/>
        <w:spacing w:line="460" w:lineRule="exact"/>
        <w:rPr>
          <w:rFonts w:ascii="宋体" w:hAnsi="宋体"/>
          <w:bCs/>
          <w:sz w:val="24"/>
          <w:szCs w:val="21"/>
        </w:rPr>
      </w:pPr>
      <w:r>
        <w:rPr>
          <w:rFonts w:hint="eastAsia" w:ascii="宋体" w:hAnsi="宋体"/>
          <w:bCs/>
          <w:sz w:val="24"/>
          <w:szCs w:val="21"/>
        </w:rPr>
        <w:t xml:space="preserve">26.3.8  响应文件含有采购人不能接受的附加条件的。</w:t>
      </w:r>
      <w:r/>
    </w:p>
    <w:p>
      <w:pPr>
        <w:ind w:firstLine="480"/>
        <w:spacing w:line="460" w:lineRule="exact"/>
        <w:rPr>
          <w:rFonts w:ascii="宋体" w:hAnsi="宋体"/>
          <w:bCs/>
          <w:sz w:val="24"/>
          <w:szCs w:val="21"/>
        </w:rPr>
      </w:pPr>
      <w:r>
        <w:rPr>
          <w:rFonts w:hint="eastAsia" w:ascii="宋体" w:hAnsi="宋体"/>
          <w:bCs/>
          <w:sz w:val="24"/>
          <w:szCs w:val="21"/>
        </w:rPr>
        <w:t xml:space="preserve">26.3.9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60" w:lineRule="exact"/>
        <w:rPr>
          <w:rFonts w:ascii="宋体" w:hAnsi="宋体"/>
          <w:bCs/>
          <w:sz w:val="24"/>
          <w:szCs w:val="21"/>
        </w:rPr>
      </w:pPr>
      <w:r>
        <w:rPr>
          <w:rFonts w:hint="eastAsia" w:ascii="宋体" w:hAnsi="宋体"/>
          <w:bCs/>
          <w:sz w:val="24"/>
          <w:szCs w:val="21"/>
        </w:rPr>
        <w:t xml:space="preserve">26.3.10响应文件未按照磋商文件要求加盖CA电子公章的。</w:t>
      </w:r>
      <w:r/>
    </w:p>
    <w:p>
      <w:pPr>
        <w:ind w:firstLine="480"/>
        <w:spacing w:line="460" w:lineRule="exact"/>
        <w:rPr>
          <w:rFonts w:ascii="宋体" w:hAnsi="宋体"/>
          <w:bCs/>
          <w:sz w:val="24"/>
          <w:szCs w:val="21"/>
        </w:rPr>
      </w:pPr>
      <w:r>
        <w:rPr>
          <w:rFonts w:hint="eastAsia" w:ascii="宋体" w:hAnsi="宋体"/>
          <w:bCs/>
          <w:sz w:val="24"/>
          <w:szCs w:val="21"/>
        </w:rPr>
        <w:t xml:space="preserve">26.4未实质性响应磋商文件的响应文件按无效响应处理。</w:t>
      </w:r>
      <w:r/>
    </w:p>
    <w:p>
      <w:pPr>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w:t>
      </w:r>
      <w:r>
        <w:rPr>
          <w:rFonts w:hint="eastAsia" w:ascii="宋体" w:hAnsi="宋体"/>
          <w:bCs/>
          <w:sz w:val="24"/>
          <w:szCs w:val="21"/>
        </w:rPr>
        <w:t xml:space="preserve">通过修改或撤销不合要求的偏离或保留而使其成为实质性响应的文件。</w:t>
      </w:r>
      <w:r/>
    </w:p>
    <w:p>
      <w:pPr>
        <w:ind w:firstLine="480"/>
        <w:spacing w:line="460" w:lineRule="exact"/>
        <w:rPr>
          <w:rFonts w:ascii="宋体" w:hAnsi="宋体"/>
          <w:sz w:val="24"/>
          <w:szCs w:val="21"/>
        </w:rPr>
      </w:pPr>
      <w:r/>
      <w:bookmarkStart w:id="145" w:name="_Toc16938550"/>
      <w:r/>
      <w:bookmarkStart w:id="146" w:name="_Toc513029234"/>
      <w:r/>
      <w:bookmarkStart w:id="147"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.6供应商在项目评审全过程中应保持通讯畅通，并安排专人与采购中心及磋商小组联系。</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5"/>
      <w:r/>
      <w:bookmarkEnd w:id="146"/>
      <w:r/>
      <w:bookmarkEnd w:id="147"/>
      <w:r>
        <w:rPr>
          <w:rFonts w:hint="eastAsia" w:ascii="Arial" w:hAnsi="Arial" w:eastAsia="黑体" w:cs="Arial"/>
          <w:sz w:val="28"/>
          <w:szCs w:val="28"/>
        </w:rPr>
        <w:t xml:space="preserve">磋商程序及评审方法和评审标准</w:t>
      </w:r>
      <w:r/>
    </w:p>
    <w:p>
      <w:pPr>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27.1磋商程序</w:t>
      </w:r>
      <w:r/>
    </w:p>
    <w:p>
      <w:pPr>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向供应商发布“磋商函”，供应商应当按照要求在</w:t>
      </w:r>
      <w:r>
        <w:rPr>
          <w:rFonts w:hint="eastAsia" w:ascii="宋体" w:hAnsi="宋体"/>
          <w:color w:val="ff0000"/>
          <w:sz w:val="24"/>
          <w:szCs w:val="24"/>
        </w:rPr>
        <w:t xml:space="preserve">苏</w:t>
      </w:r>
      <w:r>
        <w:rPr>
          <w:rFonts w:hint="eastAsia" w:ascii="宋体" w:hAnsi="宋体"/>
          <w:color w:val="ff0000"/>
          <w:sz w:val="24"/>
          <w:szCs w:val="24"/>
        </w:rPr>
        <w:t xml:space="preserve">采</w:t>
      </w:r>
      <w:r>
        <w:rPr>
          <w:rFonts w:hint="eastAsia" w:ascii="宋体" w:hAnsi="宋体"/>
          <w:color w:val="ff0000"/>
          <w:sz w:val="24"/>
          <w:szCs w:val="24"/>
        </w:rPr>
        <w:t xml:space="preserve">云系统</w:t>
      </w:r>
      <w:r>
        <w:rPr>
          <w:rFonts w:hint="eastAsia" w:ascii="宋体" w:hAnsi="宋体"/>
          <w:sz w:val="24"/>
          <w:szCs w:val="24"/>
        </w:rPr>
        <w:t xml:space="preserve">提交“磋商响应函”并加盖CA电子公章。</w:t>
      </w:r>
      <w:r/>
    </w:p>
    <w:p>
      <w:pPr>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w:t>
      </w:r>
      <w:r>
        <w:rPr>
          <w:rFonts w:hint="eastAsia" w:ascii="宋体" w:hAnsi="宋体"/>
          <w:sz w:val="24"/>
          <w:szCs w:val="24"/>
        </w:rPr>
        <w:t xml:space="preserve">作出</w:t>
      </w:r>
      <w:r>
        <w:rPr>
          <w:rFonts w:hint="eastAsia" w:ascii="宋体" w:hAnsi="宋体"/>
          <w:sz w:val="24"/>
          <w:szCs w:val="24"/>
        </w:rPr>
        <w:t xml:space="preserve">的实质性变动是磋商文件的有效组成部分，磋商小组将在</w:t>
      </w:r>
      <w:r>
        <w:rPr>
          <w:rFonts w:hint="eastAsia" w:ascii="宋体" w:hAnsi="宋体"/>
          <w:color w:val="ff0000"/>
          <w:sz w:val="24"/>
          <w:szCs w:val="24"/>
        </w:rPr>
        <w:t xml:space="preserve">苏</w:t>
      </w:r>
      <w:r>
        <w:rPr>
          <w:rFonts w:hint="eastAsia" w:ascii="宋体" w:hAnsi="宋体"/>
          <w:color w:val="ff0000"/>
          <w:sz w:val="24"/>
          <w:szCs w:val="24"/>
        </w:rPr>
        <w:t xml:space="preserve">采</w:t>
      </w:r>
      <w:r>
        <w:rPr>
          <w:rFonts w:hint="eastAsia" w:ascii="宋体" w:hAnsi="宋体"/>
          <w:color w:val="ff0000"/>
          <w:sz w:val="24"/>
          <w:szCs w:val="24"/>
        </w:rPr>
        <w:t xml:space="preserve">云系统</w:t>
      </w:r>
      <w:r>
        <w:rPr>
          <w:rFonts w:hint="eastAsia" w:ascii="宋体" w:hAnsi="宋体"/>
          <w:sz w:val="24"/>
          <w:szCs w:val="24"/>
        </w:rPr>
        <w:t xml:space="preserve">中通知所有参加磋商的供应商。供应商应当按照磋商文件的变动情况和磋商小组的要求在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中重新提交响应文件，并加盖CA电子公章。</w:t>
      </w:r>
      <w:r/>
    </w:p>
    <w:p>
      <w:pPr>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w:t>
      </w:r>
      <w:r>
        <w:rPr>
          <w:rFonts w:ascii="宋体" w:hAnsi="宋体"/>
          <w:sz w:val="24"/>
          <w:szCs w:val="24"/>
        </w:rPr>
        <w:t xml:space="preserve">的</w:t>
      </w:r>
      <w:r>
        <w:rPr>
          <w:rFonts w:ascii="宋体" w:hAnsi="宋体"/>
          <w:sz w:val="24"/>
          <w:szCs w:val="24"/>
        </w:rPr>
        <w:t xml:space="preserve">技术、服务要求的，磋商结束后，磋商小组</w:t>
      </w:r>
      <w:r>
        <w:rPr>
          <w:rFonts w:hint="eastAsia" w:ascii="宋体" w:hAnsi="宋体"/>
          <w:sz w:val="24"/>
          <w:szCs w:val="24"/>
        </w:rPr>
        <w:t xml:space="preserve">将在</w:t>
      </w:r>
      <w:r>
        <w:rPr>
          <w:rFonts w:hint="eastAsia" w:ascii="宋体" w:hAnsi="宋体"/>
          <w:color w:val="ff0000"/>
          <w:sz w:val="24"/>
          <w:szCs w:val="24"/>
        </w:rPr>
        <w:t xml:space="preserve">苏</w:t>
      </w:r>
      <w:r>
        <w:rPr>
          <w:rFonts w:hint="eastAsia" w:ascii="宋体" w:hAnsi="宋体"/>
          <w:color w:val="ff0000"/>
          <w:sz w:val="24"/>
          <w:szCs w:val="24"/>
        </w:rPr>
        <w:t xml:space="preserve">采</w:t>
      </w:r>
      <w:r>
        <w:rPr>
          <w:rFonts w:hint="eastAsia" w:ascii="宋体" w:hAnsi="宋体"/>
          <w:color w:val="ff0000"/>
          <w:sz w:val="24"/>
          <w:szCs w:val="24"/>
        </w:rPr>
        <w:t xml:space="preserve">云系统</w:t>
      </w:r>
      <w:r>
        <w:rPr>
          <w:rFonts w:hint="eastAsia" w:ascii="宋体" w:hAnsi="宋体"/>
          <w:sz w:val="24"/>
          <w:szCs w:val="24"/>
        </w:rPr>
        <w:t xml:space="preserve">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p>
    <w:p>
      <w:pPr>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磋商文件不能详细列明采购标的</w:t>
      </w:r>
      <w:r>
        <w:rPr>
          <w:rFonts w:hint="eastAsia" w:ascii="宋体" w:hAnsi="宋体"/>
          <w:sz w:val="24"/>
          <w:szCs w:val="24"/>
        </w:rPr>
        <w:t xml:space="preserve">的</w:t>
      </w:r>
      <w:r>
        <w:rPr>
          <w:rFonts w:hint="eastAsia" w:ascii="宋体" w:hAnsi="宋体"/>
          <w:sz w:val="24"/>
          <w:szCs w:val="24"/>
        </w:rPr>
        <w:t xml:space="preserve">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ff0000"/>
          <w:sz w:val="24"/>
          <w:szCs w:val="24"/>
        </w:rPr>
        <w:t xml:space="preserve">苏</w:t>
      </w:r>
      <w:r>
        <w:rPr>
          <w:rFonts w:hint="eastAsia" w:ascii="宋体" w:hAnsi="宋体"/>
          <w:color w:val="ff0000"/>
          <w:sz w:val="24"/>
          <w:szCs w:val="24"/>
        </w:rPr>
        <w:t xml:space="preserve">采</w:t>
      </w:r>
      <w:r>
        <w:rPr>
          <w:rFonts w:hint="eastAsia" w:ascii="宋体" w:hAnsi="宋体"/>
          <w:color w:val="ff0000"/>
          <w:sz w:val="24"/>
          <w:szCs w:val="24"/>
        </w:rPr>
        <w:t xml:space="preserve">云系统</w:t>
      </w:r>
      <w:r>
        <w:rPr>
          <w:rFonts w:hint="eastAsia" w:ascii="宋体" w:hAnsi="宋体"/>
          <w:sz w:val="24"/>
          <w:szCs w:val="24"/>
        </w:rPr>
        <w:t xml:space="preserve">中向其发布“最后报价要求函”及最后报价格式表，要求其在规定时间内提交最后报价。</w:t>
      </w:r>
      <w:r/>
    </w:p>
    <w:p>
      <w:pPr>
        <w:ind w:firstLine="480"/>
        <w:spacing w:after="156" w:line="460" w:lineRule="exact"/>
        <w:tabs>
          <w:tab w:val="left" w:pos="900" w:leader="none"/>
        </w:tabs>
        <w:rPr>
          <w:rFonts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27.1.3供应商未在磋商小组规定的时间内在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中提交“退出磋商函”并加盖CA电子公章</w:t>
      </w:r>
      <w:r>
        <w:rPr>
          <w:rFonts w:ascii="宋体" w:hAnsi="宋体"/>
          <w:sz w:val="24"/>
          <w:szCs w:val="24"/>
        </w:rPr>
        <w:t xml:space="preserve">。</w:t>
      </w:r>
      <w:r/>
    </w:p>
    <w:p>
      <w:pPr>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27.2 评审方法和评审标准</w:t>
      </w:r>
      <w:r/>
    </w:p>
    <w:p>
      <w:pPr>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sz w:val="24"/>
          <w:szCs w:val="24"/>
        </w:rPr>
        <w:t xml:space="preserve">有效响应</w:t>
      </w:r>
      <w:r>
        <w:rPr>
          <w:rFonts w:hint="eastAsia" w:ascii="宋体" w:hAnsi="宋体"/>
          <w:sz w:val="24"/>
          <w:szCs w:val="24"/>
        </w:rPr>
        <w:t xml:space="preserve">的文件进行评价、打分，然后汇总每个供应商每项评分因素的得分。</w:t>
      </w:r>
      <w:r/>
    </w:p>
    <w:p>
      <w:pPr>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27.2.2评审标准</w:t>
      </w:r>
      <w:r/>
    </w:p>
    <w:p>
      <w:pPr>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见本磋商文件第五章规定。</w:t>
      </w:r>
      <w:r/>
    </w:p>
    <w:p>
      <w:pPr>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27.3采购活动终止的情况</w:t>
      </w:r>
      <w:r/>
    </w:p>
    <w:p>
      <w:pPr>
        <w:ind w:firstLine="360"/>
        <w:spacing w:after="156" w:line="460" w:lineRule="exact"/>
        <w:tabs>
          <w:tab w:val="left" w:pos="900" w:leader="none"/>
        </w:tabs>
        <w:rPr>
          <w:rFonts w:ascii="宋体" w:hAnsi="宋体"/>
          <w:sz w:val="24"/>
          <w:szCs w:val="24"/>
        </w:rPr>
      </w:pPr>
      <w:r>
        <w:rPr>
          <w:rFonts w:hint="eastAsia" w:ascii="宋体" w:hAnsi="宋体"/>
          <w:sz w:val="24"/>
          <w:szCs w:val="24"/>
        </w:rPr>
        <w:t xml:space="preserve">出现下列情形之一的，本次竞争性磋商采购活动将被终止：</w:t>
      </w:r>
      <w:r/>
    </w:p>
    <w:p>
      <w:pPr>
        <w:ind w:firstLine="360"/>
        <w:spacing w:after="156" w:line="460" w:lineRule="exact"/>
        <w:tabs>
          <w:tab w:val="left" w:pos="900" w:leader="none"/>
        </w:tabs>
        <w:rPr>
          <w:rFonts w:ascii="宋体" w:hAnsi="宋体"/>
          <w:sz w:val="24"/>
          <w:szCs w:val="24"/>
        </w:rPr>
      </w:pPr>
      <w:r>
        <w:rPr>
          <w:rFonts w:hint="eastAsia" w:ascii="宋体" w:hAnsi="宋体"/>
          <w:sz w:val="24"/>
          <w:szCs w:val="24"/>
        </w:rPr>
        <w:t xml:space="preserve">27.3.1因情况变化，不再符合规定的竞争性磋商采购方式适用情形的。</w:t>
      </w:r>
      <w:r/>
    </w:p>
    <w:p>
      <w:pPr>
        <w:ind w:firstLine="360"/>
        <w:spacing w:after="156" w:line="460" w:lineRule="exact"/>
        <w:tabs>
          <w:tab w:val="left" w:pos="900" w:leader="none"/>
        </w:tabs>
        <w:rPr>
          <w:rFonts w:ascii="宋体" w:hAnsi="宋体"/>
          <w:sz w:val="24"/>
          <w:szCs w:val="24"/>
        </w:rPr>
      </w:pPr>
      <w:r>
        <w:rPr>
          <w:rFonts w:hint="eastAsia" w:ascii="宋体" w:hAnsi="宋体"/>
          <w:sz w:val="24"/>
          <w:szCs w:val="24"/>
        </w:rPr>
        <w:t xml:space="preserve">27.3.2出现影响采购公正的违法、违规行为的。</w:t>
      </w:r>
      <w:r/>
    </w:p>
    <w:p>
      <w:pPr>
        <w:ind w:firstLine="360"/>
        <w:spacing w:after="156" w:line="460" w:lineRule="exact"/>
        <w:tabs>
          <w:tab w:val="left" w:pos="900" w:leader="none"/>
        </w:tabs>
        <w:rPr>
          <w:rFonts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ind w:firstLine="360"/>
        <w:spacing w:after="156" w:line="460" w:lineRule="exact"/>
        <w:tabs>
          <w:tab w:val="left" w:pos="900" w:leader="none"/>
        </w:tabs>
        <w:rPr>
          <w:rFonts w:ascii="宋体" w:hAnsi="宋体" w:cs="宋体"/>
          <w:sz w:val="24"/>
          <w:szCs w:val="24"/>
        </w:rPr>
      </w:pPr>
      <w:r>
        <w:rPr>
          <w:rFonts w:hint="eastAsia" w:ascii="宋体" w:hAnsi="宋体" w:cs="宋体"/>
          <w:sz w:val="24"/>
          <w:szCs w:val="24"/>
        </w:rPr>
        <w:t xml:space="preserve">27.3.4在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s="宋体"/>
          <w:sz w:val="24"/>
          <w:szCs w:val="24"/>
        </w:rPr>
        <w:t xml:space="preserve">规定时间内成功解密电子响应文件的供应商不足3家的。</w:t>
      </w:r>
      <w:r/>
    </w:p>
    <w:p>
      <w:pPr>
        <w:ind w:firstLine="482"/>
        <w:keepLines/>
        <w:keepNext/>
        <w:spacing w:before="156" w:after="156" w:line="360" w:lineRule="auto"/>
        <w:rPr>
          <w:rFonts w:ascii="Times New Roman" w:hAnsi="Times New Roman"/>
          <w:b/>
          <w:bCs/>
          <w:sz w:val="32"/>
          <w:szCs w:val="32"/>
        </w:rPr>
        <w:outlineLvl w:val="2"/>
      </w:pPr>
      <w:r/>
      <w:bookmarkStart w:id="148" w:name="_Toc513029235"/>
      <w:r/>
      <w:bookmarkStart w:id="149" w:name="_Toc20823307"/>
      <w:r/>
      <w:bookmarkStart w:id="150" w:name="_Toc16938551"/>
      <w:r/>
      <w:bookmarkStart w:id="151" w:name="_Toc120614219"/>
      <w:r>
        <w:rPr>
          <w:rFonts w:hint="eastAsia" w:ascii="Times New Roman" w:hAnsi="Times New Roman"/>
          <w:b/>
          <w:bCs/>
          <w:sz w:val="32"/>
          <w:szCs w:val="32"/>
        </w:rPr>
        <w:t xml:space="preserve">六、</w:t>
      </w:r>
      <w:bookmarkEnd w:id="148"/>
      <w:r/>
      <w:bookmarkEnd w:id="149"/>
      <w:r/>
      <w:bookmarkEnd w:id="150"/>
      <w:r/>
      <w:bookmarkEnd w:id="151"/>
      <w:r>
        <w:rPr>
          <w:rFonts w:hint="eastAsia" w:ascii="Times New Roman" w:hAnsi="Times New Roman"/>
          <w:b/>
          <w:bCs/>
          <w:sz w:val="32"/>
          <w:szCs w:val="32"/>
        </w:rPr>
        <w:t xml:space="preserve">成交</w:t>
      </w:r>
      <w:r/>
    </w:p>
    <w:p>
      <w:pPr>
        <w:ind w:firstLine="600"/>
        <w:keepLines/>
        <w:keepNext/>
        <w:rPr>
          <w:rFonts w:ascii="黑体" w:hAnsi="宋体" w:eastAsia="黑体"/>
          <w:bCs/>
          <w:sz w:val="30"/>
          <w:szCs w:val="30"/>
        </w:rPr>
        <w:outlineLvl w:val="3"/>
      </w:pPr>
      <w:r/>
      <w:bookmarkStart w:id="152" w:name="_Toc513029238"/>
      <w:r/>
      <w:bookmarkStart w:id="153" w:name="_Toc16938554"/>
      <w:r/>
      <w:bookmarkStart w:id="154"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52"/>
      <w:r>
        <w:rPr>
          <w:rFonts w:hint="eastAsia" w:ascii="黑体" w:hAnsi="宋体" w:eastAsia="黑体"/>
          <w:bCs/>
          <w:sz w:val="30"/>
          <w:szCs w:val="30"/>
        </w:rPr>
        <w:t xml:space="preserve">确定</w:t>
      </w:r>
      <w:bookmarkEnd w:id="153"/>
      <w:r/>
      <w:bookmarkEnd w:id="154"/>
      <w:r>
        <w:rPr>
          <w:rFonts w:hint="eastAsia" w:ascii="黑体" w:hAnsi="宋体" w:eastAsia="黑体"/>
          <w:bCs/>
          <w:sz w:val="30"/>
          <w:szCs w:val="30"/>
        </w:rPr>
        <w:t xml:space="preserve">成交单位</w:t>
      </w:r>
      <w:r/>
    </w:p>
    <w:p>
      <w:pPr>
        <w:ind w:firstLine="478"/>
        <w:spacing w:after="156" w:line="560" w:lineRule="exact"/>
        <w:tabs>
          <w:tab w:val="left" w:pos="900" w:leader="none"/>
        </w:tabs>
        <w:rPr>
          <w:rFonts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w:t>
      </w:r>
      <w:r>
        <w:rPr>
          <w:rFonts w:hint="eastAsia" w:ascii="宋体" w:hAnsi="宋体"/>
          <w:sz w:val="24"/>
          <w:szCs w:val="21"/>
        </w:rPr>
        <w:t xml:space="preserve">商不作为成交候选人。</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.2采购人从评审报告提出的成交候选供应商中，按照排序由高到低的原则确定成交供应商，成交</w:t>
      </w:r>
      <w:r>
        <w:rPr>
          <w:rFonts w:hint="eastAsia" w:ascii="宋体" w:hAnsi="宋体"/>
          <w:bCs/>
          <w:sz w:val="24"/>
        </w:rPr>
        <w:t xml:space="preserve">候选人并列的，由采购人依法确定</w:t>
      </w:r>
      <w:r>
        <w:rPr>
          <w:rFonts w:hint="eastAsia" w:ascii="宋体" w:hAnsi="宋体"/>
          <w:bCs/>
          <w:sz w:val="24"/>
          <w:szCs w:val="21"/>
        </w:rPr>
        <w:t xml:space="preserve">。采购人确定成交供应商后，采购中心将在“江苏政府采购网、常州市政府采购网”发布成交结果公告，公告期限为1个工作日。</w:t>
      </w:r>
      <w:r/>
    </w:p>
    <w:p>
      <w:pPr>
        <w:ind w:firstLine="480"/>
        <w:spacing w:line="440" w:lineRule="exact"/>
        <w:rPr>
          <w:rFonts w:ascii="宋体" w:hAnsi="宋体"/>
          <w:bCs/>
          <w:sz w:val="24"/>
          <w:szCs w:val="21"/>
        </w:rPr>
      </w:pPr>
      <w:r>
        <w:rPr>
          <w:rFonts w:hint="eastAsia" w:ascii="宋体" w:hAnsi="宋体"/>
          <w:bCs/>
          <w:sz w:val="24"/>
          <w:szCs w:val="21"/>
        </w:rPr>
        <w:t xml:space="preserve">28.3若有充分证据证明，成交供应</w:t>
      </w:r>
      <w:r>
        <w:rPr>
          <w:rFonts w:hint="eastAsia" w:ascii="宋体" w:hAnsi="宋体"/>
          <w:bCs/>
          <w:sz w:val="24"/>
          <w:szCs w:val="21"/>
        </w:rPr>
        <w:t xml:space="preserve">商出现</w:t>
      </w:r>
      <w:r>
        <w:rPr>
          <w:rFonts w:hint="eastAsia" w:ascii="宋体" w:hAnsi="宋体"/>
          <w:bCs/>
          <w:sz w:val="24"/>
          <w:szCs w:val="21"/>
        </w:rPr>
        <w:t xml:space="preserve">下列情况之一的，一经查实，将被取消成交资格：</w:t>
      </w:r>
      <w:r/>
    </w:p>
    <w:p>
      <w:pPr>
        <w:ind w:firstLine="480"/>
        <w:spacing w:line="440" w:lineRule="exact"/>
        <w:rPr>
          <w:rFonts w:ascii="宋体" w:hAnsi="宋体"/>
          <w:bCs/>
          <w:sz w:val="24"/>
          <w:szCs w:val="21"/>
        </w:rPr>
      </w:pPr>
      <w:r>
        <w:rPr>
          <w:rFonts w:hint="eastAsia" w:ascii="宋体" w:hAnsi="宋体"/>
          <w:bCs/>
          <w:sz w:val="24"/>
          <w:szCs w:val="21"/>
        </w:rPr>
        <w:t xml:space="preserve">28.3.1提供虚假材料谋取成交的。</w:t>
      </w:r>
      <w:r/>
    </w:p>
    <w:p>
      <w:pPr>
        <w:ind w:firstLine="480"/>
        <w:spacing w:line="440" w:lineRule="exact"/>
        <w:rPr>
          <w:rFonts w:ascii="宋体" w:hAnsi="宋体"/>
          <w:bCs/>
          <w:sz w:val="24"/>
          <w:szCs w:val="21"/>
        </w:rPr>
      </w:pPr>
      <w:r>
        <w:rPr>
          <w:rFonts w:hint="eastAsia" w:ascii="宋体" w:hAnsi="宋体"/>
          <w:bCs/>
          <w:sz w:val="24"/>
          <w:szCs w:val="21"/>
        </w:rPr>
        <w:t xml:space="preserve">28.3.2与评审专家、采购人、其他供应商或者采购中心工作人员恶意串通的。</w:t>
      </w:r>
      <w:r/>
    </w:p>
    <w:p>
      <w:pPr>
        <w:ind w:firstLine="480"/>
        <w:spacing w:line="440" w:lineRule="exact"/>
        <w:rPr>
          <w:rFonts w:ascii="宋体" w:hAnsi="宋体"/>
          <w:bCs/>
          <w:sz w:val="24"/>
          <w:szCs w:val="21"/>
        </w:rPr>
      </w:pPr>
      <w:r>
        <w:rPr>
          <w:rFonts w:hint="eastAsia" w:ascii="宋体" w:hAnsi="宋体"/>
          <w:bCs/>
          <w:sz w:val="24"/>
          <w:szCs w:val="21"/>
        </w:rPr>
        <w:t xml:space="preserve">28.3.3向评审专家、采购人或采购中心工作人员行贿或者提供其他不正当利益的。</w:t>
      </w:r>
      <w:r/>
    </w:p>
    <w:p>
      <w:pPr>
        <w:ind w:firstLine="480"/>
        <w:spacing w:line="440" w:lineRule="exact"/>
        <w:rPr>
          <w:rFonts w:ascii="宋体" w:hAnsi="宋体"/>
          <w:bCs/>
          <w:sz w:val="24"/>
          <w:szCs w:val="21"/>
        </w:rPr>
      </w:pPr>
      <w:r>
        <w:rPr>
          <w:rFonts w:hint="eastAsia" w:ascii="宋体" w:hAnsi="宋体"/>
          <w:bCs/>
          <w:sz w:val="24"/>
          <w:szCs w:val="21"/>
        </w:rPr>
        <w:t xml:space="preserve">28.3.4恶意竞争，最后报价明显低于其自身合理成本且又无法提供证明的。</w:t>
      </w:r>
      <w:r/>
    </w:p>
    <w:p>
      <w:pPr>
        <w:ind w:firstLine="480"/>
        <w:spacing w:line="440" w:lineRule="exact"/>
        <w:rPr>
          <w:rFonts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p>
    <w:p>
      <w:pPr>
        <w:ind w:firstLine="480"/>
        <w:spacing w:line="440" w:lineRule="exact"/>
        <w:rPr>
          <w:rFonts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p>
    <w:p>
      <w:pPr>
        <w:ind w:firstLine="480"/>
        <w:spacing w:line="440" w:lineRule="exact"/>
        <w:rPr>
          <w:rFonts w:ascii="宋体" w:hAnsi="宋体"/>
          <w:bCs/>
          <w:sz w:val="24"/>
          <w:szCs w:val="21"/>
        </w:rPr>
      </w:pPr>
      <w:r>
        <w:rPr>
          <w:rFonts w:hint="eastAsia" w:ascii="宋体" w:hAnsi="宋体"/>
          <w:bCs/>
          <w:sz w:val="24"/>
          <w:szCs w:val="21"/>
        </w:rPr>
        <w:t xml:space="preserve">28.3.7将政府采购合同转包的。</w:t>
      </w:r>
      <w:r/>
    </w:p>
    <w:p>
      <w:pPr>
        <w:ind w:firstLine="600"/>
        <w:keepLines/>
        <w:keepNext/>
        <w:rPr>
          <w:rFonts w:ascii="黑体" w:hAnsi="宋体" w:eastAsia="黑体"/>
          <w:bCs/>
          <w:sz w:val="30"/>
          <w:szCs w:val="30"/>
        </w:rPr>
        <w:outlineLvl w:val="3"/>
      </w:pPr>
      <w:r/>
      <w:bookmarkStart w:id="155"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5"/>
      <w:r/>
      <w:r/>
    </w:p>
    <w:p>
      <w:pPr>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480"/>
        <w:spacing w:line="480" w:lineRule="exact"/>
        <w:rPr>
          <w:rFonts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p>
    <w:p>
      <w:pPr>
        <w:ind w:firstLine="480"/>
        <w:spacing w:line="480" w:lineRule="exact"/>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w:t>
      </w:r>
      <w:r>
        <w:rPr>
          <w:rFonts w:hint="eastAsia" w:ascii="Times New Roman" w:hAnsi="宋体" w:cs="宋体"/>
          <w:sz w:val="24"/>
          <w:szCs w:val="24"/>
        </w:rPr>
        <w:t xml:space="preserve">作出</w:t>
      </w:r>
      <w:r>
        <w:rPr>
          <w:rFonts w:hint="eastAsia" w:ascii="Times New Roman" w:hAnsi="宋体" w:cs="宋体"/>
          <w:sz w:val="24"/>
          <w:szCs w:val="24"/>
        </w:rPr>
        <w:t xml:space="preserve">答复。</w:t>
      </w:r>
      <w:r/>
    </w:p>
    <w:p>
      <w:pPr>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.3质疑</w:t>
      </w:r>
      <w:r>
        <w:rPr>
          <w:rFonts w:hint="eastAsia" w:ascii="宋体" w:hAnsi="宋体"/>
          <w:sz w:val="24"/>
          <w:szCs w:val="24"/>
        </w:rPr>
        <w:t xml:space="preserve">函必须</w:t>
      </w:r>
      <w:r>
        <w:rPr>
          <w:rFonts w:hint="eastAsia" w:ascii="宋体" w:hAnsi="宋体"/>
          <w:sz w:val="24"/>
          <w:szCs w:val="24"/>
        </w:rPr>
        <w:t xml:space="preserve">按照本磋商文件中《质疑函范本》要求的格式和内容进行填写。供应商如组成联合体参加磋商，则《质疑函范本》中要求签字、盖章、加盖公章之处，联合体各方均须</w:t>
      </w:r>
      <w:r>
        <w:rPr>
          <w:rFonts w:hint="eastAsia" w:ascii="宋体" w:hAnsi="宋体"/>
          <w:sz w:val="24"/>
          <w:szCs w:val="24"/>
        </w:rPr>
        <w:t xml:space="preserve">按要求签字、盖章、加盖公章。</w:t>
      </w:r>
      <w:r/>
    </w:p>
    <w:p>
      <w:pPr>
        <w:ind w:firstLine="480"/>
        <w:spacing w:line="480" w:lineRule="exact"/>
        <w:rPr>
          <w:rFonts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采购人和采购中心质疑接收联系方式见第一章。</w:t>
      </w:r>
      <w:r/>
    </w:p>
    <w:p>
      <w:pPr>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p>
    <w:p>
      <w:pPr>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p>
    <w:p>
      <w:pPr>
        <w:ind w:firstLine="468"/>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ind w:firstLine="600"/>
        <w:spacing w:line="48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w:t>
      </w:r>
      <w:r>
        <w:rPr>
          <w:rFonts w:hint="eastAsia" w:ascii="宋体" w:hAnsi="宋体" w:cs="宋体"/>
          <w:sz w:val="24"/>
          <w:szCs w:val="24"/>
        </w:rPr>
        <w:t xml:space="preserve">供应商在成交结果公告届满之日起30日内,使用CA数字证书登录</w:t>
      </w:r>
      <w:r>
        <w:rPr>
          <w:rFonts w:hint="eastAsia" w:ascii="宋体" w:hAnsi="宋体"/>
          <w:color w:val="ff0000"/>
          <w:sz w:val="24"/>
          <w:szCs w:val="24"/>
        </w:rPr>
        <w:t xml:space="preserve">苏</w:t>
      </w:r>
      <w:r>
        <w:rPr>
          <w:rFonts w:hint="eastAsia" w:ascii="宋体" w:hAnsi="宋体"/>
          <w:color w:val="ff0000"/>
          <w:sz w:val="24"/>
          <w:szCs w:val="24"/>
        </w:rPr>
        <w:t xml:space="preserve">采</w:t>
      </w:r>
      <w:r>
        <w:rPr>
          <w:rFonts w:hint="eastAsia" w:ascii="宋体" w:hAnsi="宋体"/>
          <w:color w:val="ff0000"/>
          <w:sz w:val="24"/>
          <w:szCs w:val="24"/>
        </w:rPr>
        <w:t xml:space="preserve">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s="宋体"/>
          <w:sz w:val="24"/>
          <w:szCs w:val="24"/>
        </w:rPr>
        <w:t xml:space="preserve">不再保证提供下载成交通知书服务,因未及时下载而造成的不利后果</w:t>
      </w:r>
      <w:r>
        <w:rPr>
          <w:rFonts w:hint="eastAsia" w:ascii="宋体" w:hAnsi="宋体" w:cs="宋体"/>
          <w:sz w:val="24"/>
          <w:szCs w:val="24"/>
        </w:rPr>
        <w:t xml:space="preserve">由成</w:t>
      </w:r>
      <w:r>
        <w:rPr>
          <w:rFonts w:hint="eastAsia" w:ascii="宋体" w:hAnsi="宋体" w:cs="宋体"/>
          <w:sz w:val="24"/>
          <w:szCs w:val="24"/>
        </w:rPr>
        <w:t xml:space="preserve">交供应商自行承担。</w:t>
      </w:r>
      <w:r/>
    </w:p>
    <w:p>
      <w:pPr>
        <w:ind w:firstLine="600"/>
        <w:spacing w:line="48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56" w:after="156" w:line="360" w:lineRule="auto"/>
        <w:rPr>
          <w:rFonts w:ascii="Times New Roman" w:hAnsi="Times New Roman"/>
          <w:b/>
          <w:bCs/>
          <w:sz w:val="32"/>
          <w:szCs w:val="32"/>
        </w:rPr>
        <w:outlineLvl w:val="2"/>
      </w:pPr>
      <w:r/>
      <w:bookmarkStart w:id="156" w:name="_Toc120614220"/>
      <w:r/>
      <w:bookmarkStart w:id="157" w:name="_Toc513029236"/>
      <w:r/>
      <w:bookmarkStart w:id="158" w:name="_Toc20823308"/>
      <w:r/>
      <w:bookmarkStart w:id="159" w:name="_Toc16938552"/>
      <w:r>
        <w:rPr>
          <w:rFonts w:hint="eastAsia" w:ascii="Times New Roman" w:hAnsi="Times New Roman"/>
          <w:b/>
          <w:bCs/>
          <w:sz w:val="32"/>
          <w:szCs w:val="32"/>
        </w:rPr>
        <w:t xml:space="preserve">七、授予合同</w:t>
      </w:r>
      <w:bookmarkEnd w:id="156"/>
      <w:r/>
      <w:r/>
    </w:p>
    <w:p>
      <w:pPr>
        <w:ind w:firstLine="600"/>
        <w:keepLines/>
        <w:keepNext/>
        <w:rPr>
          <w:rFonts w:ascii="黑体" w:hAnsi="宋体" w:eastAsia="黑体"/>
          <w:bCs/>
          <w:sz w:val="30"/>
          <w:szCs w:val="30"/>
        </w:rPr>
        <w:outlineLvl w:val="3"/>
      </w:pPr>
      <w:r/>
      <w:bookmarkStart w:id="160" w:name="_Toc513029237"/>
      <w:r/>
      <w:bookmarkStart w:id="161" w:name="_Toc16938553"/>
      <w:r/>
      <w:bookmarkStart w:id="162" w:name="_Toc20823309"/>
      <w:r/>
      <w:bookmarkEnd w:id="157"/>
      <w:r/>
      <w:bookmarkEnd w:id="158"/>
      <w:r/>
      <w:bookmarkEnd w:id="15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480" w:lineRule="exact"/>
        <w:rPr>
          <w:rFonts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ind w:firstLine="480"/>
        <w:spacing w:line="480" w:lineRule="exact"/>
        <w:rPr>
          <w:rFonts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39"/>
        <w:ind w:firstLine="600"/>
        <w:spacing w:before="0" w:after="0" w:line="240" w:lineRule="auto"/>
        <w:rPr>
          <w:rFonts w:ascii="黑体" w:hAnsi="宋体" w:cs="Times New Roman"/>
          <w:b w:val="0"/>
          <w:sz w:val="30"/>
          <w:szCs w:val="30"/>
        </w:rPr>
      </w:pPr>
      <w:r/>
      <w:bookmarkStart w:id="163" w:name="_Toc513029242"/>
      <w:r/>
      <w:bookmarkStart w:id="164" w:name="_Toc479757207"/>
      <w:r/>
      <w:bookmarkStart w:id="165" w:name="_Toc120614221"/>
      <w:r/>
      <w:bookmarkStart w:id="166" w:name="_Toc20823314"/>
      <w:r/>
      <w:bookmarkStart w:id="167" w:name="_Toc16938558"/>
      <w:r/>
      <w:bookmarkEnd w:id="160"/>
      <w:r/>
      <w:bookmarkEnd w:id="161"/>
      <w:r/>
      <w:bookmarkEnd w:id="162"/>
      <w:r>
        <w:rPr>
          <w:rFonts w:hint="eastAsia" w:ascii="黑体" w:hAnsi="宋体" w:cs="Times New Roman"/>
          <w:b w:val="0"/>
          <w:sz w:val="30"/>
          <w:szCs w:val="30"/>
        </w:rPr>
        <w:t xml:space="preserve">33、需要执行的政府采购政策（包括但不限于）</w:t>
      </w:r>
      <w:r>
        <w:rPr>
          <w:rFonts w:ascii="黑体" w:hAnsi="宋体" w:cs="Times New Roman"/>
          <w:b w:val="0"/>
          <w:sz w:val="30"/>
          <w:szCs w:val="30"/>
        </w:rPr>
      </w:r>
      <w:r/>
    </w:p>
    <w:p>
      <w:pPr>
        <w:ind w:firstLine="0"/>
        <w:spacing w:line="480" w:lineRule="exact"/>
        <w:rPr>
          <w:rFonts w:ascii="宋体" w:hAnsi="宋体"/>
          <w:b/>
          <w:sz w:val="24"/>
          <w:szCs w:val="24"/>
        </w:rPr>
      </w:pPr>
      <w:r>
        <w:rPr>
          <w:rFonts w:hint="eastAsia" w:ascii="宋体" w:hAnsi="宋体"/>
          <w:b/>
          <w:sz w:val="24"/>
          <w:szCs w:val="24"/>
        </w:rPr>
        <w:t xml:space="preserve">    33.1履约资金扶持政策</w:t>
      </w:r>
      <w:r/>
    </w:p>
    <w:p>
      <w:pPr>
        <w:ind w:firstLine="480"/>
        <w:spacing w:line="480" w:lineRule="exact"/>
        <w:rPr>
          <w:rFonts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w:t>
      </w:r>
      <w:r>
        <w:rPr>
          <w:rFonts w:ascii="宋体" w:hAnsi="宋体"/>
          <w:sz w:val="24"/>
          <w:szCs w:val="24"/>
        </w:rPr>
        <w:t xml:space="preserve">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w:t>
      </w:r>
      <w:r>
        <w:rPr>
          <w:rFonts w:ascii="宋体" w:hAnsi="宋体"/>
          <w:sz w:val="24"/>
          <w:szCs w:val="24"/>
        </w:rPr>
        <w:t xml:space="preserve">式参加</w:t>
      </w:r>
      <w:r>
        <w:rPr>
          <w:rFonts w:ascii="宋体" w:hAnsi="宋体"/>
          <w:sz w:val="24"/>
          <w:szCs w:val="24"/>
        </w:rPr>
        <w:t xml:space="preserve">政府采购活动，联合体各方均为中小企业的，联合体视同中小企业。其中，联合体各方均为小</w:t>
      </w:r>
      <w:r>
        <w:rPr>
          <w:rFonts w:ascii="宋体" w:hAnsi="宋体"/>
          <w:sz w:val="24"/>
          <w:szCs w:val="24"/>
        </w:rPr>
        <w:t xml:space="preserve">微企业</w:t>
      </w:r>
      <w:r>
        <w:rPr>
          <w:rFonts w:ascii="宋体" w:hAnsi="宋体"/>
          <w:sz w:val="24"/>
          <w:szCs w:val="24"/>
        </w:rPr>
        <w:t xml:space="preserve">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33.3.6.3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w:t>
      </w:r>
      <w:r>
        <w:rPr>
          <w:rFonts w:ascii="宋体" w:hAnsi="宋体"/>
          <w:sz w:val="24"/>
          <w:szCs w:val="24"/>
        </w:rPr>
        <w:t xml:space="preserve">定劳动</w:t>
      </w:r>
      <w:r>
        <w:rPr>
          <w:rFonts w:ascii="宋体" w:hAnsi="宋体"/>
          <w:sz w:val="24"/>
          <w:szCs w:val="24"/>
        </w:rPr>
        <w:t xml:space="preserve">年龄内，持有《中华人民共和国残疾人证》或者《中华人民共和国残疾军人证（1 至8 级）》的自然人，包括具有劳动条件和劳动意愿的精</w:t>
      </w:r>
      <w:r>
        <w:rPr>
          <w:rFonts w:ascii="宋体" w:hAnsi="宋体"/>
          <w:sz w:val="24"/>
          <w:szCs w:val="24"/>
        </w:rPr>
        <w:t xml:space="preserve">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w:t>
      </w:r>
      <w:r>
        <w:rPr>
          <w:rFonts w:ascii="宋体" w:hAnsi="宋体"/>
          <w:sz w:val="24"/>
          <w:szCs w:val="24"/>
        </w:rPr>
        <w:t xml:space="preserve">微企业</w:t>
      </w:r>
      <w:r>
        <w:rPr>
          <w:rFonts w:ascii="宋体" w:hAnsi="宋体"/>
          <w:sz w:val="24"/>
          <w:szCs w:val="24"/>
        </w:rPr>
        <w:t xml:space="preserve">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ascii="宋体" w:hAnsi="宋体"/>
          <w:b/>
          <w:sz w:val="24"/>
          <w:szCs w:val="24"/>
        </w:rPr>
      </w:pPr>
      <w:r>
        <w:rPr>
          <w:rFonts w:hint="eastAsia" w:ascii="宋体" w:hAnsi="宋体"/>
          <w:b/>
          <w:sz w:val="24"/>
          <w:szCs w:val="24"/>
        </w:rPr>
        <w:t xml:space="preserve">33.5绿色包装</w:t>
      </w:r>
      <w:r/>
    </w:p>
    <w:p>
      <w:pPr>
        <w:ind w:firstLine="480"/>
        <w:spacing w:line="480" w:lineRule="exact"/>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ascii="宋体" w:hAnsi="宋体"/>
          <w:b/>
          <w:sz w:val="24"/>
          <w:szCs w:val="24"/>
        </w:rPr>
      </w:pPr>
      <w:r>
        <w:rPr>
          <w:rFonts w:hint="eastAsia" w:ascii="宋体" w:hAnsi="宋体"/>
          <w:b/>
          <w:sz w:val="24"/>
          <w:szCs w:val="24"/>
        </w:rPr>
        <w:t xml:space="preserve">33.8政府采购创新产品政策</w:t>
      </w:r>
      <w:r/>
    </w:p>
    <w:p>
      <w:pPr>
        <w:ind w:firstLine="480"/>
        <w:spacing w:line="480" w:lineRule="exact"/>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w:t>
      </w:r>
      <w:r>
        <w:rPr>
          <w:rFonts w:hint="eastAsia" w:ascii="宋体" w:hAnsi="宋体"/>
          <w:sz w:val="24"/>
          <w:szCs w:val="24"/>
        </w:rPr>
        <w:t xml:space="preserve">首购首</w:t>
      </w:r>
      <w:r>
        <w:rPr>
          <w:rFonts w:hint="eastAsia" w:ascii="宋体" w:hAnsi="宋体"/>
          <w:sz w:val="24"/>
          <w:szCs w:val="24"/>
        </w:rPr>
        <w:t xml:space="preserve">用等《目录》的创新产品，上述《目录》</w:t>
      </w:r>
      <w:r>
        <w:rPr>
          <w:rFonts w:hint="eastAsia" w:ascii="宋体" w:hAnsi="宋体"/>
          <w:sz w:val="24"/>
          <w:szCs w:val="24"/>
        </w:rPr>
        <w:t xml:space="preserve">内创</w:t>
      </w:r>
      <w:r>
        <w:rPr>
          <w:rFonts w:hint="eastAsia" w:ascii="宋体" w:hAnsi="宋体"/>
          <w:sz w:val="24"/>
          <w:szCs w:val="24"/>
        </w:rPr>
        <w:t xml:space="preserve">新产品，</w:t>
      </w:r>
      <w:r>
        <w:rPr>
          <w:rFonts w:hint="eastAsia" w:ascii="宋体" w:hAnsi="宋体"/>
          <w:sz w:val="24"/>
          <w:szCs w:val="24"/>
        </w:rPr>
        <w:t xml:space="preserve">自认</w:t>
      </w:r>
      <w:r>
        <w:rPr>
          <w:rFonts w:hint="eastAsia" w:ascii="宋体" w:hAnsi="宋体"/>
          <w:sz w:val="24"/>
          <w:szCs w:val="24"/>
        </w:rPr>
        <w:t xml:space="preserve">定之日起2年内视同已具备相应销售业绩，参加政府采购活动</w:t>
      </w:r>
      <w:r>
        <w:rPr>
          <w:rFonts w:hint="eastAsia" w:ascii="宋体" w:hAnsi="宋体"/>
          <w:sz w:val="24"/>
          <w:szCs w:val="24"/>
        </w:rPr>
        <w:t xml:space="preserve">时业</w:t>
      </w:r>
      <w:r>
        <w:rPr>
          <w:rFonts w:hint="eastAsia" w:ascii="宋体" w:hAnsi="宋体"/>
          <w:sz w:val="24"/>
          <w:szCs w:val="24"/>
        </w:rPr>
        <w:t xml:space="preserve">绩分值为满分。（如涉及）</w:t>
      </w:r>
      <w:r/>
    </w:p>
    <w:p>
      <w:pPr>
        <w:ind w:firstLine="482"/>
        <w:spacing w:line="480" w:lineRule="exact"/>
        <w:rPr>
          <w:rFonts w:ascii="宋体" w:hAnsi="宋体"/>
          <w:b/>
          <w:sz w:val="24"/>
          <w:szCs w:val="24"/>
        </w:rPr>
      </w:pPr>
      <w:r>
        <w:rPr>
          <w:rFonts w:hint="eastAsia" w:ascii="宋体" w:hAnsi="宋体"/>
          <w:b/>
          <w:sz w:val="24"/>
          <w:szCs w:val="24"/>
        </w:rPr>
        <w:t xml:space="preserve">33.9绿色数据中心政策 </w:t>
      </w:r>
      <w:r/>
    </w:p>
    <w:p>
      <w:pPr>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33.10履约保证金相关政策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ascii="宋体" w:hAnsi="宋体"/>
          <w:sz w:val="24"/>
          <w:szCs w:val="24"/>
        </w:rPr>
      </w:pPr>
      <w:r>
        <w:rPr>
          <w:rFonts w:ascii="宋体" w:hAnsi="宋体"/>
          <w:sz w:val="24"/>
          <w:szCs w:val="24"/>
        </w:rPr>
      </w:r>
      <w:r/>
    </w:p>
    <w:p>
      <w:pPr>
        <w:ind w:firstLine="420"/>
        <w:rPr>
          <w:rFonts w:ascii="Times New Roman" w:hAnsi="Times New Roman"/>
          <w:szCs w:val="21"/>
        </w:rPr>
      </w:pPr>
      <w:r>
        <w:rPr>
          <w:rFonts w:ascii="Times New Roman" w:hAnsi="Times New Roman"/>
          <w:szCs w:val="21"/>
        </w:rPr>
      </w:r>
      <w:r/>
    </w:p>
    <w:p>
      <w:pPr>
        <w:spacing w:line="500" w:lineRule="exact"/>
        <w:rPr>
          <w:rFonts w:ascii="宋体" w:hAnsi="宋体"/>
          <w:bCs/>
          <w:sz w:val="24"/>
          <w:szCs w:val="24"/>
        </w:rPr>
      </w:pPr>
      <w:r>
        <w:rPr>
          <w:rFonts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ind w:firstLine="2640"/>
        <w:keepNext/>
        <w:rPr>
          <w:rFonts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63"/>
      <w:r/>
      <w:bookmarkEnd w:id="164"/>
      <w:r/>
      <w:bookmarkEnd w:id="165"/>
      <w:r/>
      <w:bookmarkEnd w:id="166"/>
      <w:r/>
      <w:bookmarkEnd w:id="167"/>
      <w:r>
        <w:rPr>
          <w:rFonts w:hint="eastAsia" w:ascii="黑体" w:hAnsi="Times New Roman" w:eastAsia="黑体"/>
          <w:bCs/>
          <w:sz w:val="44"/>
          <w:szCs w:val="28"/>
        </w:rPr>
        <w:t xml:space="preserve">文本</w:t>
      </w:r>
      <w:r/>
    </w:p>
    <w:p>
      <w:pPr>
        <w:ind w:firstLine="480"/>
        <w:spacing w:line="500" w:lineRule="exact"/>
        <w:rPr>
          <w:rFonts w:ascii="宋体" w:hAnsi="宋体"/>
          <w:bCs/>
          <w:sz w:val="24"/>
          <w:szCs w:val="21"/>
        </w:rPr>
      </w:pPr>
      <w:r/>
      <w:bookmarkStart w:id="168" w:name="_Toc20823315"/>
      <w:r/>
      <w:bookmarkStart w:id="169" w:name="_Toc16938559"/>
      <w:r/>
      <w:bookmarkStart w:id="170" w:name="_Toc513029243"/>
      <w:r>
        <w:rPr>
          <w:rFonts w:hint="eastAsia" w:ascii="宋体" w:hAnsi="宋体"/>
          <w:bCs/>
          <w:sz w:val="24"/>
          <w:szCs w:val="21"/>
        </w:rPr>
        <w:t xml:space="preserve">以下为成交后签订本项目合同的通用条款，成交供应商不得提出实质性的修改。</w:t>
      </w:r>
      <w:r/>
    </w:p>
    <w:p>
      <w:pPr>
        <w:spacing w:before="156" w:after="156"/>
        <w:rPr>
          <w:rFonts w:ascii="宋体" w:hAnsi="宋体"/>
          <w:b/>
          <w:sz w:val="30"/>
          <w:szCs w:val="21"/>
        </w:rPr>
        <w:outlineLvl w:val="0"/>
      </w:pPr>
      <w:r>
        <w:rPr>
          <w:rFonts w:ascii="宋体" w:hAnsi="宋体"/>
          <w:b/>
          <w:sz w:val="30"/>
          <w:szCs w:val="21"/>
        </w:rPr>
      </w:r>
      <w:r/>
    </w:p>
    <w:p>
      <w:pPr>
        <w:jc w:val="center"/>
        <w:spacing w:before="156" w:after="156"/>
        <w:rPr>
          <w:rFonts w:ascii="宋体" w:hAnsi="宋体"/>
          <w:b/>
          <w:bCs/>
          <w:sz w:val="30"/>
          <w:szCs w:val="20"/>
        </w:rPr>
        <w:outlineLvl w:val="0"/>
      </w:pPr>
      <w:r>
        <w:rPr>
          <w:rFonts w:hint="eastAsia" w:ascii="宋体" w:hAnsi="宋体"/>
          <w:b/>
          <w:sz w:val="30"/>
          <w:szCs w:val="21"/>
        </w:rPr>
        <w:t xml:space="preserve">常州市政府采购合同（合同编号）</w:t>
      </w:r>
      <w:r/>
    </w:p>
    <w:p>
      <w:pPr>
        <w:spacing w:before="120" w:after="120"/>
        <w:rPr>
          <w:rFonts w:ascii="宋体" w:hAnsi="宋体" w:cs="Courier New"/>
          <w:sz w:val="24"/>
          <w:szCs w:val="24"/>
        </w:rPr>
      </w:pPr>
      <w:r>
        <w:rPr>
          <w:rFonts w:ascii="宋体" w:hAnsi="宋体" w:cs="Courier New"/>
          <w:sz w:val="24"/>
          <w:szCs w:val="24"/>
        </w:rPr>
        <w:t xml:space="preserve">项目名称：                                       项目编号：</w:t>
      </w:r>
      <w:r/>
    </w:p>
    <w:p>
      <w:pPr>
        <w:spacing w:before="120" w:after="120"/>
        <w:rPr>
          <w:rFonts w:ascii="宋体" w:hAnsi="宋体" w:cs="Courier New"/>
          <w:sz w:val="24"/>
          <w:szCs w:val="24"/>
        </w:rPr>
      </w:pPr>
      <w:r>
        <w:rPr>
          <w:rFonts w:ascii="宋体" w:hAnsi="宋体" w:cs="Courier New"/>
          <w:sz w:val="24"/>
          <w:szCs w:val="24"/>
        </w:rPr>
        <w:t xml:space="preserve">甲方：（买方）_________</w:t>
      </w:r>
      <w:r/>
    </w:p>
    <w:p>
      <w:pPr>
        <w:spacing w:before="120" w:after="120"/>
        <w:rPr>
          <w:rFonts w:ascii="宋体" w:hAnsi="宋体" w:cs="Courier New"/>
          <w:sz w:val="24"/>
          <w:szCs w:val="24"/>
        </w:rPr>
      </w:pPr>
      <w:r>
        <w:rPr>
          <w:rFonts w:ascii="宋体" w:hAnsi="宋体" w:cs="Courier New"/>
          <w:sz w:val="24"/>
          <w:szCs w:val="24"/>
        </w:rPr>
        <w:t xml:space="preserve">乙方：（卖方）_________</w:t>
      </w:r>
      <w:r/>
    </w:p>
    <w:p>
      <w:pPr>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常州市政府采购中心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p>
    <w:p>
      <w:pPr>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spacing w:before="120" w:after="120"/>
        <w:rPr>
          <w:rFonts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spacing w:before="120" w:after="120"/>
        <w:rPr>
          <w:rFonts w:ascii="宋体" w:hAnsi="宋体" w:cs="Courier New"/>
          <w:sz w:val="24"/>
          <w:szCs w:val="24"/>
        </w:rPr>
      </w:pPr>
      <w:r>
        <w:rPr>
          <w:rFonts w:hint="eastAsia" w:ascii="宋体" w:hAnsi="宋体" w:cs="Courier New"/>
          <w:sz w:val="24"/>
          <w:szCs w:val="24"/>
        </w:rPr>
        <w:t xml:space="preserve">1.3 标的数量（规模）：</w:t>
      </w:r>
      <w:r/>
    </w:p>
    <w:p>
      <w:pPr>
        <w:spacing w:before="120" w:after="120"/>
        <w:rPr>
          <w:rFonts w:ascii="宋体" w:hAnsi="宋体" w:cs="Courier New"/>
          <w:sz w:val="24"/>
          <w:szCs w:val="24"/>
        </w:rPr>
      </w:pPr>
      <w:r>
        <w:rPr>
          <w:rFonts w:hint="eastAsia" w:ascii="宋体" w:hAnsi="宋体" w:cs="Courier New"/>
          <w:sz w:val="24"/>
          <w:szCs w:val="24"/>
        </w:rPr>
        <w:t xml:space="preserve">1.4 履行时间（期限）：</w:t>
      </w:r>
      <w:r/>
    </w:p>
    <w:p>
      <w:pPr>
        <w:spacing w:before="120" w:after="120"/>
        <w:rPr>
          <w:rFonts w:ascii="宋体" w:hAnsi="宋体" w:cs="Courier New"/>
          <w:sz w:val="24"/>
          <w:szCs w:val="24"/>
        </w:rPr>
      </w:pPr>
      <w:r>
        <w:rPr>
          <w:rFonts w:hint="eastAsia" w:ascii="宋体" w:hAnsi="宋体" w:cs="Courier New"/>
          <w:sz w:val="24"/>
          <w:szCs w:val="24"/>
        </w:rPr>
        <w:t xml:space="preserve">1.5 履行地点：</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p>
    <w:p>
      <w:pPr>
        <w:spacing w:before="120" w:after="120"/>
        <w:rPr>
          <w:rFonts w:ascii="宋体" w:hAnsi="宋体" w:cs="Courier New"/>
          <w:b/>
          <w:sz w:val="24"/>
          <w:szCs w:val="24"/>
        </w:rPr>
      </w:pPr>
      <w:r>
        <w:rPr>
          <w:rFonts w:ascii="宋体" w:hAnsi="宋体" w:cs="Courier New"/>
          <w:b/>
          <w:sz w:val="24"/>
          <w:szCs w:val="24"/>
        </w:rPr>
        <w:t xml:space="preserve">二、合同金额</w:t>
      </w:r>
      <w:r/>
    </w:p>
    <w:p>
      <w:pPr>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spacing w:before="120" w:after="120"/>
        <w:rPr>
          <w:rFonts w:ascii="宋体" w:hAnsi="宋体" w:cs="Courier New"/>
          <w:b/>
          <w:sz w:val="24"/>
          <w:szCs w:val="24"/>
        </w:rPr>
      </w:pPr>
      <w:r>
        <w:rPr>
          <w:rFonts w:ascii="宋体" w:hAnsi="宋体" w:cs="Courier New"/>
          <w:b/>
          <w:sz w:val="24"/>
          <w:szCs w:val="24"/>
        </w:rPr>
        <w:t xml:space="preserve">三、技术资料</w:t>
      </w:r>
      <w:r/>
    </w:p>
    <w:p>
      <w:pPr>
        <w:ind w:left="410" w:hanging="410"/>
        <w:spacing w:before="120" w:after="120"/>
        <w:rPr>
          <w:rFonts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w:t>
      </w:r>
      <w:r>
        <w:rPr>
          <w:rFonts w:ascii="宋体" w:hAnsi="宋体" w:cs="Courier New"/>
          <w:sz w:val="24"/>
          <w:szCs w:val="24"/>
        </w:rPr>
        <w:t xml:space="preserve">向履行</w:t>
      </w:r>
      <w:r>
        <w:rPr>
          <w:rFonts w:ascii="宋体" w:hAnsi="宋体" w:cs="Courier New"/>
          <w:sz w:val="24"/>
          <w:szCs w:val="24"/>
        </w:rPr>
        <w:t xml:space="preserve">本合同有关的人员提供，也应注意保密并限于履行合同的必需范围。</w:t>
      </w:r>
      <w:r/>
    </w:p>
    <w:p>
      <w:pPr>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ind w:left="408" w:hanging="408"/>
        <w:spacing w:before="120" w:after="120"/>
        <w:rPr>
          <w:rFonts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spacing w:before="120" w:after="120"/>
        <w:rPr>
          <w:rFonts w:ascii="宋体" w:hAnsi="宋体" w:cs="Courier New"/>
          <w:sz w:val="24"/>
          <w:szCs w:val="24"/>
          <w:u w:val="single"/>
        </w:rPr>
      </w:pPr>
      <w:r>
        <w:rPr>
          <w:rFonts w:ascii="宋体" w:hAnsi="宋体" w:cs="Courier New"/>
          <w:b/>
          <w:sz w:val="24"/>
          <w:szCs w:val="24"/>
        </w:rPr>
        <w:t xml:space="preserve">五、产权担保</w:t>
      </w:r>
      <w:r/>
    </w:p>
    <w:p>
      <w:pPr>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w:t>
      </w:r>
      <w:r>
        <w:rPr>
          <w:rFonts w:ascii="宋体" w:hAnsi="宋体" w:cs="Courier New"/>
          <w:sz w:val="24"/>
          <w:szCs w:val="24"/>
        </w:rPr>
        <w:t xml:space="preserve">所有权完全属于</w:t>
      </w:r>
      <w:r>
        <w:rPr>
          <w:rFonts w:ascii="宋体" w:hAnsi="宋体" w:cs="Courier New"/>
          <w:sz w:val="24"/>
          <w:szCs w:val="24"/>
        </w:rPr>
        <w:t xml:space="preserve">乙方</w:t>
      </w:r>
      <w:r>
        <w:rPr>
          <w:rFonts w:ascii="宋体" w:hAnsi="宋体" w:cs="Courier New"/>
          <w:sz w:val="24"/>
          <w:szCs w:val="24"/>
        </w:rPr>
        <w:t xml:space="preserve">且无任何抵押、查封等产权瑕疵。</w:t>
      </w:r>
      <w:r/>
    </w:p>
    <w:p>
      <w:pPr>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pStyle w:val="859"/>
        <w:ind w:left="408" w:hanging="408"/>
        <w:spacing w:before="120" w:after="120"/>
        <w:rPr>
          <w:rFonts w:hAnsi="宋体"/>
          <w:sz w:val="24"/>
          <w:szCs w:val="24"/>
        </w:rPr>
      </w:pPr>
      <w:r>
        <w:rPr>
          <w:rFonts w:hint="eastAsia" w:hAnsi="宋体"/>
          <w:sz w:val="24"/>
          <w:szCs w:val="24"/>
        </w:rPr>
        <w:t xml:space="preserve">本项目</w:t>
      </w:r>
      <w:r>
        <w:rPr>
          <w:rFonts w:hint="eastAsia" w:hAnsi="宋体"/>
          <w:b/>
          <w:sz w:val="24"/>
          <w:szCs w:val="24"/>
          <w:u w:val="single"/>
        </w:rPr>
        <w:t xml:space="preserve">不收取</w:t>
      </w:r>
      <w:r>
        <w:rPr>
          <w:rFonts w:hint="eastAsia" w:hAnsi="宋体"/>
          <w:sz w:val="24"/>
          <w:szCs w:val="24"/>
        </w:rPr>
        <w:t xml:space="preserve">履约保证金。</w:t>
      </w:r>
      <w:r/>
    </w:p>
    <w:p>
      <w:pPr>
        <w:pStyle w:val="859"/>
        <w:ind w:left="408" w:hanging="408"/>
        <w:spacing w:before="120" w:after="120"/>
        <w:rPr>
          <w:rFonts w:hAnsi="宋体"/>
          <w:sz w:val="24"/>
          <w:szCs w:val="24"/>
        </w:rPr>
      </w:pPr>
      <w:r>
        <w:rPr>
          <w:rFonts w:hint="eastAsia" w:hAnsi="宋体"/>
          <w:sz w:val="24"/>
          <w:szCs w:val="24"/>
        </w:rPr>
        <w:t xml:space="preserve">6.1</w:t>
      </w:r>
      <w:r>
        <w:rPr>
          <w:rFonts w:hAnsi="宋体"/>
          <w:sz w:val="24"/>
          <w:szCs w:val="24"/>
        </w:rPr>
        <w:t xml:space="preserve">乙方交纳人民币____</w:t>
      </w:r>
      <w:r>
        <w:rPr>
          <w:rFonts w:hAnsi="宋体"/>
          <w:sz w:val="24"/>
          <w:szCs w:val="24"/>
          <w:u w:val="single"/>
        </w:rPr>
        <w:t xml:space="preserve">_/__</w:t>
      </w:r>
      <w:r>
        <w:rPr>
          <w:rFonts w:hAnsi="宋体"/>
          <w:sz w:val="24"/>
          <w:szCs w:val="24"/>
        </w:rPr>
        <w:t xml:space="preserve">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w:t>
      </w:r>
      <w:r>
        <w:rPr>
          <w:rFonts w:hAnsi="宋体"/>
          <w:sz w:val="24"/>
          <w:szCs w:val="24"/>
        </w:rPr>
        <w:t xml:space="preserve">市有关文件精神，鼓励优先采用电子履约保函（保险）形式。</w:t>
      </w:r>
      <w:r/>
    </w:p>
    <w:p>
      <w:pPr>
        <w:pStyle w:val="859"/>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859"/>
        <w:ind w:left="408" w:hanging="408"/>
        <w:spacing w:before="120" w:after="120"/>
        <w:rPr>
          <w:rFonts w:hAnsi="宋体"/>
          <w:sz w:val="24"/>
          <w:szCs w:val="24"/>
        </w:rPr>
      </w:pPr>
      <w:r>
        <w:rPr>
          <w:rFonts w:hint="eastAsia" w:hAnsi="宋体"/>
          <w:sz w:val="24"/>
          <w:szCs w:val="24"/>
        </w:rPr>
        <w:t xml:space="preserve">6.2.1履约保证金退还方式：/</w:t>
      </w:r>
      <w:r/>
    </w:p>
    <w:p>
      <w:pPr>
        <w:pStyle w:val="859"/>
        <w:ind w:left="408" w:hanging="408"/>
        <w:spacing w:before="120" w:after="120"/>
        <w:rPr>
          <w:rFonts w:hAnsi="宋体"/>
          <w:sz w:val="24"/>
          <w:szCs w:val="24"/>
        </w:rPr>
      </w:pPr>
      <w:r>
        <w:rPr>
          <w:rFonts w:hint="eastAsia" w:hAnsi="宋体"/>
          <w:sz w:val="24"/>
          <w:szCs w:val="24"/>
        </w:rPr>
        <w:t xml:space="preserve">6.2.2履约保证金退还时间：/</w:t>
      </w:r>
      <w:r/>
    </w:p>
    <w:p>
      <w:pPr>
        <w:pStyle w:val="859"/>
        <w:ind w:left="408" w:hanging="408"/>
        <w:spacing w:before="120" w:after="120"/>
        <w:rPr>
          <w:rFonts w:hAnsi="宋体"/>
          <w:sz w:val="24"/>
          <w:szCs w:val="24"/>
        </w:rPr>
      </w:pPr>
      <w:r>
        <w:rPr>
          <w:rFonts w:hint="eastAsia" w:hAnsi="宋体"/>
          <w:sz w:val="24"/>
          <w:szCs w:val="24"/>
        </w:rPr>
        <w:t xml:space="preserve">6.2.3履约保证金退还条件：/</w:t>
      </w:r>
      <w:r/>
    </w:p>
    <w:p>
      <w:pPr>
        <w:pStyle w:val="859"/>
        <w:ind w:left="408" w:hanging="408"/>
        <w:spacing w:before="120" w:after="120"/>
        <w:rPr>
          <w:rFonts w:hAnsi="宋体"/>
          <w:sz w:val="24"/>
          <w:szCs w:val="24"/>
        </w:rPr>
      </w:pPr>
      <w:r>
        <w:rPr>
          <w:rFonts w:hint="eastAsia" w:hAnsi="宋体"/>
          <w:sz w:val="24"/>
          <w:szCs w:val="24"/>
        </w:rPr>
        <w:t xml:space="preserve">6.2.4履约保证金不予退还的情形：/</w:t>
      </w:r>
      <w:r/>
    </w:p>
    <w:p>
      <w:pPr>
        <w:spacing w:before="156" w:after="156"/>
        <w:rPr>
          <w:rFonts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ascii="宋体" w:hAnsi="宋体"/>
          <w:sz w:val="24"/>
          <w:szCs w:val="24"/>
        </w:rPr>
      </w:pPr>
      <w:r>
        <w:rPr>
          <w:rFonts w:hint="eastAsia" w:ascii="宋体" w:hAnsi="宋体"/>
          <w:sz w:val="24"/>
          <w:szCs w:val="24"/>
        </w:rPr>
        <w:t xml:space="preserve">7.1乙方不得将合同标的转包给他人履行。</w:t>
      </w:r>
      <w:r/>
    </w:p>
    <w:p>
      <w:pPr>
        <w:spacing w:before="156" w:after="156"/>
        <w:rPr>
          <w:rFonts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spacing w:before="156" w:after="156"/>
        <w:rPr>
          <w:rFonts w:ascii="宋体" w:hAnsi="宋体"/>
          <w:sz w:val="24"/>
          <w:u w:val="single"/>
        </w:rPr>
      </w:pPr>
      <w:r>
        <w:rPr>
          <w:rFonts w:hint="eastAsia" w:ascii="宋体" w:hAnsi="宋体"/>
          <w:sz w:val="24"/>
        </w:rPr>
        <w:t xml:space="preserve">8.1分期付款：</w:t>
      </w:r>
      <w:r>
        <w:rPr>
          <w:rFonts w:hint="eastAsia" w:ascii="宋体" w:hAnsi="宋体"/>
          <w:sz w:val="24"/>
          <w:u w:val="single"/>
        </w:rPr>
        <w:t xml:space="preserve">预付款支付时间：合同签订后，预付款支付比例：合同金额的30%。满足合同约定支付条件的，自收到发票后10个工作日内支付。</w:t>
      </w:r>
      <w:r/>
    </w:p>
    <w:p>
      <w:pPr>
        <w:spacing w:before="156" w:after="156"/>
        <w:rPr>
          <w:rFonts w:ascii="宋体" w:hAnsi="宋体"/>
          <w:sz w:val="24"/>
          <w:u w:val="single"/>
        </w:rPr>
      </w:pPr>
      <w:r>
        <w:rPr>
          <w:rFonts w:hint="eastAsia" w:ascii="宋体" w:hAnsi="宋体"/>
          <w:sz w:val="24"/>
          <w:u w:val="single"/>
        </w:rPr>
        <w:t xml:space="preserve">项目初验合格后款项支付时间：合同金额的40%。满足合同约定支付条件的，自收到发票后10个工作日内支付。</w:t>
      </w:r>
      <w:r/>
    </w:p>
    <w:p>
      <w:pPr>
        <w:spacing w:before="156" w:after="156"/>
        <w:rPr>
          <w:rFonts w:ascii="宋体" w:hAnsi="宋体"/>
          <w:sz w:val="24"/>
          <w:u w:val="single"/>
        </w:rPr>
      </w:pPr>
      <w:r>
        <w:rPr>
          <w:rFonts w:hint="eastAsia" w:ascii="宋体" w:hAnsi="宋体"/>
          <w:sz w:val="24"/>
          <w:u w:val="single"/>
        </w:rPr>
        <w:t xml:space="preserve">尾款支付时间：完成系统平台建设、上线试运行并通过最终验收后，尾款支付比例：合同金额的30%。满足合同约定支付条件的，自收到发票后10个工作日内支付。</w:t>
      </w:r>
      <w:r/>
    </w:p>
    <w:p>
      <w:pPr>
        <w:spacing w:before="156" w:after="156"/>
        <w:rPr>
          <w:rFonts w:ascii="宋体" w:hAnsi="宋体" w:eastAsia="仿宋_GB2312"/>
          <w:b/>
          <w:sz w:val="24"/>
          <w:szCs w:val="24"/>
        </w:rPr>
      </w:pPr>
      <w:r>
        <w:rPr>
          <w:rFonts w:hint="eastAsia" w:ascii="宋体" w:hAnsi="宋体"/>
          <w:b/>
          <w:sz w:val="24"/>
          <w:szCs w:val="24"/>
        </w:rPr>
        <w:t xml:space="preserve">九、税费</w:t>
      </w:r>
      <w:r/>
    </w:p>
    <w:p>
      <w:pPr>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10.1 甲方依法组织履约验收工作。</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10.4 如有必要，甲方邀请参加本项目的其他供应商或第三</w:t>
      </w:r>
      <w:r>
        <w:rPr>
          <w:rFonts w:hint="eastAsia" w:ascii="宋体" w:hAnsi="宋体" w:cs="Courier New"/>
          <w:sz w:val="24"/>
          <w:szCs w:val="24"/>
        </w:rPr>
        <w:t xml:space="preserve">方专业</w:t>
      </w:r>
      <w:r>
        <w:rPr>
          <w:rFonts w:hint="eastAsia" w:ascii="宋体" w:hAnsi="宋体" w:cs="Courier New"/>
          <w:sz w:val="24"/>
          <w:szCs w:val="24"/>
        </w:rPr>
        <w:t xml:space="preserve">机构及专家参与验收，相关意见将作为</w:t>
      </w:r>
      <w:r>
        <w:rPr>
          <w:rFonts w:hint="eastAsia" w:ascii="宋体" w:hAnsi="宋体" w:cs="Courier New"/>
          <w:sz w:val="24"/>
          <w:szCs w:val="24"/>
        </w:rPr>
        <w:t xml:space="preserve">验收</w:t>
      </w:r>
      <w:r>
        <w:rPr>
          <w:rFonts w:hint="eastAsia" w:ascii="宋体" w:hAnsi="宋体" w:cs="Courier New"/>
          <w:sz w:val="24"/>
          <w:szCs w:val="24"/>
        </w:rPr>
        <w:t xml:space="preserve">书的参考资料。</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cs="Courier New"/>
          <w:sz w:val="24"/>
          <w:szCs w:val="24"/>
        </w:rPr>
        <w:t xml:space="preserve">验收书</w:t>
      </w:r>
      <w:r>
        <w:rPr>
          <w:rFonts w:hint="eastAsia" w:ascii="宋体" w:hAnsi="宋体" w:cs="Courier New"/>
          <w:sz w:val="24"/>
          <w:szCs w:val="24"/>
        </w:rPr>
        <w:t xml:space="preserve">,列明各项标准的验收情况及项目总体评价,由验收双方共同签署。验收结果与采购合同约定的资金支付及履约保证金返还条件挂钩。履约验收的各项资料存档备查。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w:t>
      </w:r>
      <w:r>
        <w:rPr>
          <w:rFonts w:hint="eastAsia" w:ascii="宋体" w:hAnsi="宋体" w:cs="Courier New"/>
          <w:color w:val="ff0000"/>
          <w:sz w:val="24"/>
          <w:szCs w:val="24"/>
        </w:rPr>
        <w:t xml:space="preserve">提供的合同标的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w:t>
      </w:r>
      <w:r>
        <w:rPr>
          <w:rFonts w:ascii="宋体" w:hAnsi="宋体" w:cs="Courier New"/>
          <w:sz w:val="24"/>
          <w:szCs w:val="24"/>
        </w:rPr>
        <w:t xml:space="preserve">，乙方应按逾期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w:t>
      </w:r>
      <w:r>
        <w:rPr>
          <w:rFonts w:ascii="宋体" w:hAnsi="宋体" w:cs="Courier New"/>
          <w:sz w:val="24"/>
          <w:szCs w:val="24"/>
        </w:rPr>
        <w:t xml:space="preserve">，甲方可解除本合同。乙方因逾期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w:t>
      </w:r>
      <w:r>
        <w:rPr>
          <w:rFonts w:hint="eastAsia" w:ascii="宋体" w:hAnsi="宋体" w:cs="Courier New"/>
          <w:sz w:val="24"/>
          <w:szCs w:val="24"/>
        </w:rPr>
        <w:t xml:space="preserve">的</w:t>
      </w:r>
      <w:r>
        <w:rPr>
          <w:rFonts w:hint="eastAsia" w:ascii="宋体" w:hAnsi="宋体" w:cs="Courier New"/>
          <w:sz w:val="24"/>
          <w:szCs w:val="24"/>
        </w:rPr>
        <w:t xml:space="preserve">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spacing w:before="120" w:after="120"/>
        <w:rPr>
          <w:rFonts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ind w:left="480" w:hanging="480"/>
        <w:spacing w:before="120" w:after="120" w:line="0" w:lineRule="atLeast"/>
        <w:rPr>
          <w:rFonts w:ascii="宋体" w:hAnsi="宋体" w:cs="Courier New"/>
          <w:sz w:val="24"/>
          <w:szCs w:val="24"/>
        </w:rPr>
      </w:pPr>
      <w:r>
        <w:rPr>
          <w:rFonts w:ascii="宋体" w:hAnsi="宋体" w:cs="Courier New"/>
          <w:sz w:val="24"/>
          <w:szCs w:val="24"/>
        </w:rPr>
        <w:t xml:space="preserve">  </w:t>
      </w:r>
      <w:r/>
    </w:p>
    <w:p>
      <w:pPr>
        <w:ind w:left="479" w:hanging="240"/>
        <w:spacing w:before="120" w:after="120" w:line="0" w:lineRule="atLeast"/>
        <w:rPr>
          <w:rFonts w:ascii="宋体" w:hAnsi="宋体" w:cs="Courier New"/>
          <w:sz w:val="24"/>
          <w:szCs w:val="24"/>
        </w:rPr>
      </w:pPr>
      <w:r>
        <w:rPr>
          <w:rFonts w:ascii="宋体" w:hAnsi="宋体" w:cs="Courier New"/>
          <w:sz w:val="24"/>
          <w:szCs w:val="24"/>
        </w:rPr>
        <w:t xml:space="preserve">甲方：                        乙方： </w:t>
      </w:r>
      <w:r/>
    </w:p>
    <w:p>
      <w:pPr>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before="120" w:after="120" w:line="0" w:lineRule="atLeast"/>
        <w:rPr>
          <w:rFonts w:ascii="宋体" w:hAnsi="Courier New" w:cs="Courier New"/>
          <w:szCs w:val="21"/>
        </w:rPr>
      </w:pPr>
      <w:r>
        <w:rPr>
          <w:rFonts w:hint="eastAsia" w:ascii="宋体" w:hAnsi="宋体" w:cs="Courier New"/>
          <w:sz w:val="24"/>
          <w:szCs w:val="24"/>
        </w:rPr>
        <w:t xml:space="preserve">联系电话：                    联系电话：          </w:t>
      </w:r>
      <w:r/>
    </w:p>
    <w:p>
      <w:pPr>
        <w:ind w:firstLine="420"/>
        <w:spacing w:line="500" w:lineRule="exact"/>
        <w:rPr>
          <w:rFonts w:ascii="宋体" w:hAnsi="宋体"/>
          <w:bCs/>
          <w:sz w:val="24"/>
          <w:szCs w:val="21"/>
        </w:rPr>
      </w:pPr>
      <w:r>
        <w:rPr>
          <w:rFonts w:hint="eastAsia" w:ascii="Times New Roman" w:hAnsi="Times New Roman"/>
          <w:szCs w:val="21"/>
        </w:rPr>
        <w:t xml:space="preserve">                                          </w:t>
      </w:r>
      <w:r>
        <w:rPr>
          <w:rFonts w:ascii="Times New Roman" w:hAnsi="Times New Roman"/>
          <w:szCs w:val="21"/>
        </w:rPr>
        <w:t xml:space="preserve">签订日期：</w:t>
      </w:r>
      <w:r>
        <w:rPr>
          <w:rFonts w:ascii="Times New Roman" w:hAnsi="Times New Roman"/>
          <w:szCs w:val="21"/>
        </w:rPr>
        <w:t xml:space="preserve">      </w:t>
      </w:r>
      <w:r>
        <w:rPr>
          <w:rFonts w:ascii="Times New Roman" w:hAnsi="Times New Roman"/>
          <w:szCs w:val="21"/>
        </w:rPr>
        <w:t xml:space="preserve">年</w:t>
      </w:r>
      <w:r>
        <w:rPr>
          <w:rFonts w:ascii="Times New Roman" w:hAnsi="Times New Roman"/>
          <w:szCs w:val="21"/>
        </w:rPr>
        <w:t xml:space="preserve">  </w:t>
      </w:r>
      <w:r>
        <w:rPr>
          <w:rFonts w:hint="eastAsia" w:ascii="Times New Roman" w:hAnsi="Times New Roman"/>
          <w:szCs w:val="21"/>
        </w:rPr>
        <w:t xml:space="preserve">  </w:t>
      </w:r>
      <w:r>
        <w:rPr>
          <w:rFonts w:ascii="Times New Roman" w:hAnsi="Times New Roman"/>
          <w:szCs w:val="21"/>
        </w:rPr>
        <w:t xml:space="preserve">月</w:t>
      </w:r>
      <w:r>
        <w:rPr>
          <w:rFonts w:ascii="Times New Roman" w:hAnsi="Times New Roman"/>
          <w:szCs w:val="21"/>
        </w:rPr>
        <w:t xml:space="preserve">  </w:t>
      </w:r>
      <w:r>
        <w:rPr>
          <w:rFonts w:hint="eastAsia" w:ascii="Times New Roman" w:hAnsi="Times New Roman"/>
          <w:szCs w:val="21"/>
        </w:rPr>
        <w:t xml:space="preserve"> </w:t>
      </w:r>
      <w:r>
        <w:rPr>
          <w:rFonts w:ascii="Times New Roman" w:hAnsi="Times New Roman"/>
          <w:szCs w:val="21"/>
        </w:rPr>
        <w:t xml:space="preserve">日</w:t>
      </w:r>
      <w:r/>
    </w:p>
    <w:p>
      <w:pPr>
        <w:jc w:val="center"/>
        <w:spacing w:before="120" w:after="120" w:line="0" w:lineRule="atLeast"/>
        <w:rPr>
          <w:rFonts w:ascii="宋体" w:hAnsi="宋体"/>
          <w:sz w:val="24"/>
          <w:szCs w:val="24"/>
        </w:rPr>
      </w:pPr>
      <w:r/>
      <w:bookmarkStart w:id="171" w:name="_Hlt16619369"/>
      <w:r/>
      <w:bookmarkStart w:id="172" w:name="_Toc26554093"/>
      <w:r/>
      <w:bookmarkStart w:id="173" w:name="_Toc49090575"/>
      <w:r/>
      <w:bookmarkStart w:id="174" w:name="_Toc479757211"/>
      <w:r/>
      <w:bookmarkStart w:id="175" w:name="_Toc462564139"/>
      <w:r/>
      <w:bookmarkEnd w:id="168"/>
      <w:r/>
      <w:bookmarkEnd w:id="169"/>
      <w:r/>
      <w:bookmarkEnd w:id="170"/>
      <w:r/>
      <w:bookmarkEnd w:id="171"/>
      <w:r/>
      <w:r/>
    </w:p>
    <w:p>
      <w:pPr>
        <w:jc w:val="cente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jc w:val="center"/>
        <w:spacing w:before="120" w:after="120" w:line="0" w:lineRule="atLeast"/>
        <w:rPr>
          <w:rFonts w:ascii="宋体" w:hAnsi="宋体"/>
          <w:sz w:val="24"/>
          <w:szCs w:val="24"/>
        </w:rPr>
      </w:pPr>
      <w:r>
        <w:rPr>
          <w:rFonts w:ascii="宋体" w:hAnsi="宋体"/>
          <w:sz w:val="24"/>
          <w:szCs w:val="24"/>
        </w:rPr>
      </w:r>
      <w:r/>
    </w:p>
    <w:p>
      <w:pPr>
        <w:jc w:val="center"/>
        <w:rPr>
          <w:rFonts w:ascii="方正小标宋简体" w:eastAsia="方正小标宋简体"/>
          <w:bCs/>
          <w:sz w:val="44"/>
          <w:szCs w:val="44"/>
        </w:rPr>
      </w:pPr>
      <w:r/>
      <w:bookmarkStart w:id="176" w:name="_Toc120614281"/>
      <w:r>
        <w:rPr>
          <w:rFonts w:hint="eastAsia" w:ascii="方正小标宋简体" w:eastAsia="方正小标宋简体"/>
          <w:bCs/>
          <w:sz w:val="44"/>
          <w:szCs w:val="44"/>
        </w:rPr>
        <w:br w:type="page" w:clear="all"/>
      </w:r>
      <w:r>
        <w:rPr>
          <w:rFonts w:hint="eastAsia" w:ascii="方正小标宋简体" w:eastAsia="方正小标宋简体"/>
          <w:bCs/>
          <w:sz w:val="44"/>
          <w:szCs w:val="44"/>
        </w:rPr>
        <w:t xml:space="preserve">采购需求</w:t>
      </w:r>
      <w:r/>
    </w:p>
    <w:p>
      <w:pPr>
        <w:pStyle w:val="938"/>
        <w:ind w:left="0" w:firstLine="562"/>
        <w:spacing w:line="570" w:lineRule="exact"/>
        <w:rPr>
          <w:rFonts w:ascii="宋体" w:hAnsi="宋体"/>
          <w:b/>
          <w:sz w:val="28"/>
          <w:szCs w:val="28"/>
          <w:lang w:eastAsia="zh-CN"/>
        </w:rPr>
      </w:pPr>
      <w:r>
        <w:rPr>
          <w:rFonts w:hint="eastAsia" w:ascii="宋体" w:hAnsi="宋体"/>
          <w:b/>
          <w:bCs/>
          <w:sz w:val="28"/>
          <w:szCs w:val="28"/>
          <w:lang w:eastAsia="zh-CN"/>
        </w:rPr>
        <w:t xml:space="preserve">一、</w:t>
      </w:r>
      <w:r>
        <w:rPr>
          <w:rFonts w:hint="eastAsia" w:ascii="宋体" w:hAnsi="宋体"/>
          <w:b/>
          <w:sz w:val="28"/>
          <w:szCs w:val="28"/>
          <w:lang w:eastAsia="zh-CN"/>
        </w:rPr>
        <w:t xml:space="preserve">采购标的</w:t>
      </w:r>
      <w:r/>
    </w:p>
    <w:p>
      <w:pPr>
        <w:contextualSpacing/>
        <w:ind w:firstLine="480"/>
        <w:spacing w:line="570" w:lineRule="exact"/>
        <w:rPr>
          <w:rFonts w:ascii="宋体" w:hAnsi="宋体"/>
          <w:bCs/>
          <w:sz w:val="24"/>
        </w:rPr>
      </w:pPr>
      <w:r>
        <w:rPr>
          <w:rFonts w:hint="eastAsia" w:ascii="宋体" w:hAnsi="宋体"/>
          <w:bCs/>
          <w:sz w:val="24"/>
        </w:rPr>
        <w:t xml:space="preserve">1.项目名称：新北区智慧城市管理指挥平台（二期） </w:t>
      </w:r>
      <w:r/>
    </w:p>
    <w:p>
      <w:pPr>
        <w:ind w:firstLine="480"/>
        <w:spacing w:line="570" w:lineRule="exact"/>
        <w:rPr>
          <w:rFonts w:ascii="宋体" w:hAnsi="宋体"/>
          <w:sz w:val="24"/>
        </w:rPr>
      </w:pPr>
      <w:r>
        <w:rPr>
          <w:rFonts w:hint="eastAsia" w:ascii="宋体" w:hAnsi="宋体"/>
          <w:sz w:val="24"/>
        </w:rPr>
        <w:t xml:space="preserve">2.预算金额：2</w:t>
      </w:r>
      <w:r>
        <w:rPr>
          <w:rFonts w:ascii="宋体" w:hAnsi="宋体"/>
          <w:sz w:val="24"/>
        </w:rPr>
        <w:t xml:space="preserve">3.8</w:t>
      </w:r>
      <w:r>
        <w:rPr>
          <w:rFonts w:hint="eastAsia" w:ascii="宋体" w:hAnsi="宋体"/>
          <w:sz w:val="24"/>
        </w:rPr>
        <w:t xml:space="preserve">万元 </w:t>
      </w:r>
      <w:r/>
    </w:p>
    <w:p>
      <w:pPr>
        <w:ind w:firstLine="480"/>
        <w:spacing w:line="570" w:lineRule="exact"/>
        <w:rPr>
          <w:rFonts w:ascii="宋体" w:hAnsi="宋体"/>
          <w:sz w:val="24"/>
        </w:rPr>
      </w:pPr>
      <w:r>
        <w:rPr>
          <w:rFonts w:hint="eastAsia" w:ascii="宋体" w:hAnsi="宋体"/>
          <w:sz w:val="24"/>
        </w:rPr>
        <w:t xml:space="preserve">3.最高限价：2</w:t>
      </w:r>
      <w:r>
        <w:rPr>
          <w:rFonts w:ascii="宋体" w:hAnsi="宋体"/>
          <w:sz w:val="24"/>
        </w:rPr>
        <w:t xml:space="preserve">1.8</w:t>
      </w:r>
      <w:r>
        <w:rPr>
          <w:rFonts w:hint="eastAsia" w:ascii="宋体" w:hAnsi="宋体"/>
          <w:sz w:val="24"/>
        </w:rPr>
        <w:t xml:space="preserve">万元</w:t>
      </w:r>
      <w:r/>
    </w:p>
    <w:p>
      <w:pPr>
        <w:ind w:firstLine="480"/>
        <w:spacing w:line="570" w:lineRule="exact"/>
        <w:rPr>
          <w:rFonts w:ascii="宋体" w:hAnsi="宋体"/>
          <w:sz w:val="24"/>
          <w:u w:val="single"/>
        </w:rPr>
      </w:pPr>
      <w:r>
        <w:rPr>
          <w:rFonts w:hint="eastAsia" w:ascii="宋体" w:hAnsi="宋体"/>
          <w:sz w:val="24"/>
        </w:rPr>
        <w:t xml:space="preserve">4.采购项目概况（简介）：本项目建设以新北城管中转站运行监管模块、公厕数据接入、智慧内务及安全生产场景为建设重点，以进一步加强市运管服平台能力运用及新北区个性化业务应用为目标，完善新北区智慧城市管理指挥平台，建立全域覆盖、全时可用、全程可控的智慧城市管理新模式。</w:t>
      </w:r>
      <w:r>
        <w:rPr>
          <w:rFonts w:hint="eastAsia" w:ascii="宋体" w:hAnsi="宋体" w:cs="宋体"/>
          <w:sz w:val="24"/>
        </w:rPr>
        <w:t xml:space="preserve"> </w:t>
      </w:r>
      <w:r/>
    </w:p>
    <w:p>
      <w:pPr>
        <w:ind w:firstLine="480"/>
        <w:spacing w:line="570" w:lineRule="exact"/>
        <w:rPr>
          <w:rFonts w:ascii="宋体" w:hAnsi="宋体"/>
          <w:sz w:val="24"/>
        </w:rPr>
      </w:pPr>
      <w:r>
        <w:rPr>
          <w:rFonts w:hint="eastAsia" w:ascii="宋体" w:hAnsi="宋体"/>
          <w:sz w:val="24"/>
        </w:rPr>
        <w:t xml:space="preserve">5.合同履行期限：合同签订后，30日内完成平台建设、上线、运行并通过验收。</w:t>
      </w:r>
      <w:r/>
    </w:p>
    <w:p>
      <w:pPr>
        <w:ind w:firstLine="480"/>
        <w:spacing w:line="570" w:lineRule="exact"/>
        <w:rPr>
          <w:rFonts w:ascii="宋体" w:hAnsi="宋体"/>
          <w:sz w:val="24"/>
        </w:rPr>
      </w:pPr>
      <w:r>
        <w:rPr>
          <w:rFonts w:hint="eastAsia" w:ascii="宋体" w:hAnsi="宋体"/>
          <w:sz w:val="24"/>
        </w:rPr>
        <w:t xml:space="preserve">6.是/</w:t>
      </w:r>
      <w:r>
        <w:rPr>
          <w:rFonts w:hint="eastAsia" w:ascii="宋体" w:hAnsi="宋体"/>
          <w:sz w:val="24"/>
        </w:rPr>
        <w:t xml:space="preserve">否接受</w:t>
      </w:r>
      <w:r>
        <w:rPr>
          <w:rFonts w:hint="eastAsia" w:ascii="宋体" w:hAnsi="宋体"/>
          <w:sz w:val="24"/>
        </w:rPr>
        <w:t xml:space="preserve">联合体投标：</w:t>
      </w:r>
      <w:r>
        <w:rPr>
          <w:rFonts w:hint="eastAsia" w:ascii="宋体" w:hAnsi="宋体"/>
          <w:sz w:val="24"/>
        </w:rPr>
        <w:t xml:space="preserve">否</w:t>
      </w:r>
      <w:r>
        <w:rPr>
          <w:rFonts w:hint="eastAsia" w:ascii="宋体" w:hAnsi="宋体"/>
          <w:sz w:val="24"/>
        </w:rPr>
        <w:t xml:space="preserve"> </w:t>
      </w:r>
      <w:r/>
    </w:p>
    <w:p>
      <w:pPr>
        <w:ind w:firstLine="480"/>
        <w:spacing w:line="570" w:lineRule="exact"/>
        <w:rPr>
          <w:rFonts w:ascii="宋体" w:hAnsi="宋体"/>
          <w:sz w:val="24"/>
        </w:rPr>
      </w:pPr>
      <w:r>
        <w:rPr>
          <w:rFonts w:hint="eastAsia" w:ascii="宋体" w:hAnsi="宋体"/>
          <w:sz w:val="24"/>
        </w:rPr>
        <w:t xml:space="preserve">7.是/</w:t>
      </w:r>
      <w:r>
        <w:rPr>
          <w:rFonts w:hint="eastAsia" w:ascii="宋体" w:hAnsi="宋体"/>
          <w:sz w:val="24"/>
        </w:rPr>
        <w:t xml:space="preserve">否接受</w:t>
      </w:r>
      <w:r>
        <w:rPr>
          <w:rFonts w:hint="eastAsia" w:ascii="宋体" w:hAnsi="宋体"/>
          <w:sz w:val="24"/>
        </w:rPr>
        <w:t xml:space="preserve">分支机构参与响应：</w:t>
      </w:r>
      <w:r>
        <w:rPr>
          <w:rFonts w:hint="eastAsia" w:ascii="宋体" w:hAnsi="宋体"/>
          <w:sz w:val="24"/>
        </w:rPr>
        <w:t xml:space="preserve">否</w:t>
      </w:r>
      <w:r/>
    </w:p>
    <w:p>
      <w:pPr>
        <w:ind w:firstLine="480"/>
        <w:spacing w:line="570" w:lineRule="exact"/>
        <w:rPr>
          <w:rFonts w:ascii="宋体" w:hAnsi="宋体"/>
          <w:sz w:val="24"/>
        </w:rPr>
      </w:pPr>
      <w:r>
        <w:rPr>
          <w:rFonts w:hint="eastAsia" w:ascii="宋体" w:hAnsi="宋体"/>
          <w:sz w:val="24"/>
        </w:rPr>
        <w:t xml:space="preserve">8.是/</w:t>
      </w:r>
      <w:r>
        <w:rPr>
          <w:rFonts w:hint="eastAsia" w:ascii="宋体" w:hAnsi="宋体"/>
          <w:sz w:val="24"/>
        </w:rPr>
        <w:t xml:space="preserve">否属于</w:t>
      </w:r>
      <w:r>
        <w:rPr>
          <w:rFonts w:hint="eastAsia" w:ascii="宋体" w:hAnsi="宋体"/>
          <w:sz w:val="24"/>
        </w:rPr>
        <w:t xml:space="preserve">政府购买服务：是</w:t>
      </w:r>
      <w:r/>
    </w:p>
    <w:p>
      <w:pPr>
        <w:ind w:firstLine="480"/>
        <w:spacing w:line="570" w:lineRule="exact"/>
        <w:rPr>
          <w:rFonts w:ascii="宋体" w:hAnsi="宋体"/>
          <w:sz w:val="24"/>
        </w:rPr>
      </w:pPr>
      <w:r>
        <w:rPr>
          <w:rFonts w:hint="eastAsia" w:ascii="宋体" w:hAnsi="宋体"/>
          <w:sz w:val="24"/>
        </w:rPr>
        <w:t xml:space="preserve">9.是/</w:t>
      </w:r>
      <w:r>
        <w:rPr>
          <w:rFonts w:hint="eastAsia" w:ascii="宋体" w:hAnsi="宋体"/>
          <w:sz w:val="24"/>
        </w:rPr>
        <w:t xml:space="preserve">否接受</w:t>
      </w:r>
      <w:r>
        <w:rPr>
          <w:rFonts w:hint="eastAsia" w:ascii="宋体" w:hAnsi="宋体"/>
          <w:sz w:val="24"/>
        </w:rPr>
        <w:t xml:space="preserve">进口产品投标：</w:t>
      </w:r>
      <w:r>
        <w:rPr>
          <w:rFonts w:hint="eastAsia" w:ascii="宋体" w:hAnsi="宋体"/>
          <w:sz w:val="24"/>
        </w:rPr>
        <w:t xml:space="preserve">否</w:t>
      </w:r>
      <w:r/>
    </w:p>
    <w:p>
      <w:pPr>
        <w:ind w:firstLine="480"/>
        <w:spacing w:line="570" w:lineRule="exact"/>
        <w:rPr>
          <w:rFonts w:ascii="宋体" w:hAnsi="宋体"/>
          <w:sz w:val="24"/>
        </w:rPr>
      </w:pPr>
      <w:r>
        <w:rPr>
          <w:rFonts w:hint="eastAsia" w:ascii="宋体" w:hAnsi="宋体"/>
          <w:sz w:val="24"/>
        </w:rPr>
        <w:t xml:space="preserve">10.是/</w:t>
      </w:r>
      <w:r>
        <w:rPr>
          <w:rFonts w:hint="eastAsia" w:ascii="宋体" w:hAnsi="宋体"/>
          <w:sz w:val="24"/>
        </w:rPr>
        <w:t xml:space="preserve">否专门</w:t>
      </w:r>
      <w:r>
        <w:rPr>
          <w:rFonts w:hint="eastAsia" w:ascii="宋体" w:hAnsi="宋体"/>
          <w:sz w:val="24"/>
        </w:rPr>
        <w:t xml:space="preserve">面向中小企业预留采购份额：</w:t>
      </w:r>
      <w:r>
        <w:rPr>
          <w:rFonts w:hint="eastAsia" w:ascii="宋体" w:hAnsi="宋体"/>
          <w:sz w:val="24"/>
        </w:rPr>
        <w:t xml:space="preserve">否</w:t>
      </w:r>
      <w:r/>
    </w:p>
    <w:p>
      <w:pPr>
        <w:ind w:firstLine="480"/>
        <w:spacing w:line="570" w:lineRule="exact"/>
        <w:rPr>
          <w:rFonts w:ascii="宋体" w:hAnsi="宋体"/>
          <w:bCs/>
          <w:sz w:val="24"/>
        </w:rPr>
      </w:pPr>
      <w:r>
        <w:rPr>
          <w:rFonts w:hint="eastAsia" w:ascii="宋体" w:hAnsi="宋体"/>
          <w:sz w:val="24"/>
        </w:rPr>
        <w:t xml:space="preserve">11.本项目的特定资格要求：无</w:t>
      </w:r>
      <w:r/>
    </w:p>
    <w:p>
      <w:pPr>
        <w:ind w:firstLine="480"/>
        <w:spacing w:line="570" w:lineRule="exact"/>
        <w:rPr>
          <w:rFonts w:ascii="宋体" w:hAnsi="宋体"/>
          <w:bCs/>
          <w:sz w:val="24"/>
        </w:rPr>
      </w:pPr>
      <w:r>
        <w:rPr>
          <w:rFonts w:hint="eastAsia" w:ascii="宋体" w:hAnsi="宋体"/>
          <w:bCs/>
          <w:sz w:val="24"/>
        </w:rPr>
        <w:t xml:space="preserve">12.项目类别：服务类</w:t>
      </w:r>
      <w:r/>
    </w:p>
    <w:p>
      <w:pPr>
        <w:ind w:firstLine="480"/>
        <w:spacing w:line="570" w:lineRule="exact"/>
        <w:rPr>
          <w:rFonts w:ascii="宋体" w:hAnsi="宋体"/>
          <w:bCs/>
          <w:sz w:val="24"/>
        </w:rPr>
      </w:pPr>
      <w:r>
        <w:rPr>
          <w:rFonts w:ascii="宋体" w:hAnsi="宋体"/>
          <w:bCs/>
          <w:sz w:val="24"/>
        </w:rPr>
      </w:r>
      <w:r/>
    </w:p>
    <w:p>
      <w:pPr>
        <w:pStyle w:val="938"/>
        <w:spacing w:line="570" w:lineRule="exact"/>
        <w:rPr>
          <w:rFonts w:ascii="宋体" w:hAnsi="宋体"/>
          <w:b/>
          <w:sz w:val="28"/>
          <w:szCs w:val="28"/>
          <w:lang w:eastAsia="zh-CN"/>
        </w:rPr>
      </w:pPr>
      <w:r>
        <w:rPr>
          <w:rFonts w:hint="eastAsia" w:ascii="宋体" w:hAnsi="宋体"/>
          <w:b/>
          <w:sz w:val="28"/>
          <w:szCs w:val="28"/>
          <w:lang w:eastAsia="zh-CN"/>
        </w:rPr>
        <w:t xml:space="preserve">二、商务要求</w:t>
      </w:r>
      <w:r/>
    </w:p>
    <w:p>
      <w:pPr>
        <w:contextualSpacing/>
        <w:ind w:firstLine="482"/>
        <w:spacing w:line="570" w:lineRule="exact"/>
        <w:rPr>
          <w:rFonts w:ascii="宋体" w:hAnsi="宋体"/>
          <w:b/>
          <w:i/>
          <w:sz w:val="24"/>
        </w:rPr>
      </w:pPr>
      <w:r>
        <w:rPr>
          <w:rFonts w:hint="eastAsia" w:ascii="宋体" w:hAnsi="宋体"/>
          <w:b/>
          <w:sz w:val="24"/>
        </w:rPr>
        <w:t xml:space="preserve">1.实施的时间和地点</w:t>
      </w:r>
      <w:r/>
    </w:p>
    <w:p>
      <w:pPr>
        <w:contextualSpacing/>
        <w:ind w:firstLine="482"/>
        <w:spacing w:line="570" w:lineRule="exact"/>
        <w:rPr>
          <w:rFonts w:ascii="宋体" w:hAnsi="宋体"/>
          <w:sz w:val="24"/>
        </w:rPr>
      </w:pPr>
      <w:r>
        <w:rPr>
          <w:rFonts w:hint="eastAsia" w:ascii="宋体" w:hAnsi="宋体"/>
          <w:b/>
          <w:sz w:val="24"/>
        </w:rPr>
        <w:t xml:space="preserve">时间：</w:t>
      </w:r>
      <w:r>
        <w:rPr>
          <w:rFonts w:hint="eastAsia" w:ascii="宋体" w:hAnsi="宋体"/>
          <w:sz w:val="24"/>
        </w:rPr>
        <w:t xml:space="preserve">合同签订后，30日内完成平台建设、上线、运行并通过验收。</w:t>
      </w:r>
      <w:r/>
    </w:p>
    <w:p>
      <w:pPr>
        <w:contextualSpacing/>
        <w:ind w:firstLine="482"/>
        <w:spacing w:line="570" w:lineRule="exact"/>
        <w:rPr>
          <w:rFonts w:ascii="宋体" w:hAnsi="宋体"/>
          <w:sz w:val="24"/>
        </w:rPr>
      </w:pPr>
      <w:r>
        <w:rPr>
          <w:rFonts w:hint="eastAsia" w:ascii="宋体" w:hAnsi="宋体"/>
          <w:b/>
          <w:sz w:val="24"/>
        </w:rPr>
        <w:t xml:space="preserve">地点：</w:t>
      </w:r>
      <w:r>
        <w:rPr>
          <w:rFonts w:hint="eastAsia" w:ascii="宋体" w:hAnsi="宋体"/>
          <w:sz w:val="24"/>
        </w:rPr>
        <w:t xml:space="preserve">常州市新北区渭河路2号。</w:t>
      </w:r>
      <w:r/>
    </w:p>
    <w:p>
      <w:pPr>
        <w:contextualSpacing/>
        <w:ind w:firstLine="480"/>
        <w:spacing w:line="570" w:lineRule="exact"/>
        <w:rPr>
          <w:rFonts w:ascii="宋体" w:hAnsi="宋体"/>
          <w:sz w:val="24"/>
        </w:rPr>
      </w:pPr>
      <w:r>
        <w:rPr>
          <w:rFonts w:ascii="宋体" w:hAnsi="宋体"/>
          <w:sz w:val="24"/>
        </w:rPr>
      </w:r>
      <w:r/>
    </w:p>
    <w:p>
      <w:pPr>
        <w:contextualSpacing/>
        <w:ind w:firstLine="482"/>
        <w:spacing w:line="570" w:lineRule="exact"/>
        <w:rPr>
          <w:rFonts w:ascii="宋体" w:hAnsi="宋体"/>
          <w:b/>
          <w:sz w:val="24"/>
        </w:rPr>
      </w:pPr>
      <w:r>
        <w:rPr>
          <w:rFonts w:hint="eastAsia" w:ascii="宋体" w:hAnsi="宋体"/>
          <w:b/>
          <w:sz w:val="24"/>
        </w:rPr>
        <w:t xml:space="preserve">2. 付款条件（进度和方式）</w:t>
      </w:r>
      <w:r/>
    </w:p>
    <w:p>
      <w:pPr>
        <w:contextualSpacing/>
        <w:ind w:firstLine="480"/>
        <w:spacing w:line="570" w:lineRule="exact"/>
        <w:rPr>
          <w:rFonts w:ascii="宋体" w:hAnsi="宋体"/>
          <w:sz w:val="24"/>
        </w:rPr>
      </w:pPr>
      <w:r>
        <w:rPr>
          <w:rFonts w:hint="eastAsia" w:ascii="宋体" w:hAnsi="宋体"/>
          <w:sz w:val="24"/>
        </w:rPr>
        <w:t xml:space="preserve">分期付款：预付款支付时间：合同签订后，预付款支付比例：合同金额的30%。满足合同约定支付条件的，自收到发票后10个工作日内支付。</w:t>
      </w:r>
      <w:r/>
    </w:p>
    <w:p>
      <w:pPr>
        <w:contextualSpacing/>
        <w:ind w:firstLine="480"/>
        <w:spacing w:line="570" w:lineRule="exact"/>
        <w:rPr>
          <w:rFonts w:ascii="宋体" w:hAnsi="宋体"/>
          <w:sz w:val="24"/>
        </w:rPr>
      </w:pPr>
      <w:r>
        <w:rPr>
          <w:rFonts w:hint="eastAsia" w:ascii="宋体" w:hAnsi="宋体"/>
          <w:sz w:val="24"/>
        </w:rPr>
        <w:t xml:space="preserve">项目初验合格后款项支付时间：合同金额的40%。满足合同约定支付条件的，自收到发票后10个工作日内支付。</w:t>
      </w:r>
      <w:r/>
    </w:p>
    <w:p>
      <w:pPr>
        <w:contextualSpacing/>
        <w:ind w:firstLine="480"/>
        <w:spacing w:line="570" w:lineRule="exact"/>
        <w:rPr>
          <w:rFonts w:ascii="宋体" w:hAnsi="宋体"/>
          <w:sz w:val="24"/>
        </w:rPr>
      </w:pPr>
      <w:r>
        <w:rPr>
          <w:rFonts w:hint="eastAsia" w:ascii="宋体" w:hAnsi="宋体"/>
          <w:sz w:val="24"/>
        </w:rPr>
        <w:t xml:space="preserve">尾款支付时间：完成系统平台建设、上线试运行并通过最终验收后，尾款支付比例：合同金额的30%。满足合同约定支付条件的，自收到发票后10个工作日内支付。</w:t>
      </w:r>
      <w:r/>
    </w:p>
    <w:p>
      <w:pPr>
        <w:contextualSpacing/>
        <w:ind w:firstLine="482"/>
        <w:spacing w:line="570" w:lineRule="exact"/>
        <w:rPr>
          <w:rFonts w:ascii="宋体" w:hAnsi="宋体"/>
          <w:b/>
          <w:sz w:val="24"/>
        </w:rPr>
      </w:pPr>
      <w:r>
        <w:rPr>
          <w:rFonts w:ascii="宋体" w:hAnsi="宋体"/>
          <w:b/>
          <w:sz w:val="24"/>
        </w:rPr>
      </w:r>
      <w:r/>
    </w:p>
    <w:p>
      <w:pPr>
        <w:contextualSpacing/>
        <w:ind w:firstLine="482"/>
        <w:spacing w:line="570" w:lineRule="exact"/>
        <w:rPr>
          <w:rFonts w:ascii="宋体" w:hAnsi="宋体"/>
          <w:b/>
          <w:sz w:val="24"/>
        </w:rPr>
      </w:pPr>
      <w:r>
        <w:rPr>
          <w:rFonts w:hint="eastAsia" w:ascii="宋体" w:hAnsi="宋体"/>
          <w:b/>
          <w:sz w:val="24"/>
        </w:rPr>
        <w:t xml:space="preserve">3. 包装和运输</w:t>
      </w:r>
      <w:r/>
    </w:p>
    <w:p>
      <w:pPr>
        <w:contextualSpacing/>
        <w:ind w:firstLine="480"/>
        <w:spacing w:line="570" w:lineRule="exact"/>
        <w:rPr>
          <w:rFonts w:ascii="宋体" w:hAnsi="宋体"/>
          <w:sz w:val="24"/>
        </w:rPr>
      </w:pPr>
      <w:r>
        <w:rPr>
          <w:rFonts w:hint="eastAsia" w:ascii="宋体" w:hAnsi="宋体"/>
          <w:sz w:val="24"/>
        </w:rPr>
        <w:t xml:space="preserve">无。</w:t>
      </w:r>
      <w:r/>
    </w:p>
    <w:p>
      <w:pPr>
        <w:contextualSpacing/>
        <w:ind w:firstLine="480"/>
        <w:spacing w:line="570" w:lineRule="exact"/>
        <w:rPr>
          <w:rFonts w:ascii="宋体" w:hAnsi="宋体"/>
          <w:sz w:val="24"/>
        </w:rPr>
      </w:pPr>
      <w:r>
        <w:rPr>
          <w:rFonts w:ascii="宋体" w:hAnsi="宋体"/>
          <w:sz w:val="24"/>
        </w:rPr>
      </w:r>
      <w:r/>
    </w:p>
    <w:p>
      <w:pPr>
        <w:contextualSpacing/>
        <w:ind w:firstLine="482"/>
        <w:spacing w:line="570" w:lineRule="exact"/>
        <w:rPr>
          <w:rFonts w:ascii="宋体" w:hAnsi="宋体"/>
          <w:b/>
          <w:sz w:val="24"/>
        </w:rPr>
      </w:pPr>
      <w:r>
        <w:rPr>
          <w:rFonts w:hint="eastAsia" w:ascii="宋体" w:hAnsi="宋体"/>
          <w:b/>
          <w:sz w:val="24"/>
        </w:rPr>
        <w:t xml:space="preserve">4. 售后服务（质保期等）</w:t>
      </w:r>
      <w:r/>
    </w:p>
    <w:p>
      <w:pPr>
        <w:contextualSpacing/>
        <w:ind w:firstLine="480"/>
        <w:spacing w:line="570" w:lineRule="exact"/>
        <w:rPr>
          <w:rFonts w:ascii="宋体" w:hAnsi="宋体"/>
          <w:sz w:val="24"/>
        </w:rPr>
      </w:pPr>
      <w:r>
        <w:rPr>
          <w:rFonts w:ascii="宋体" w:hAnsi="宋体"/>
          <w:sz w:val="24"/>
        </w:rPr>
        <w:t xml:space="preserve">4.</w:t>
      </w:r>
      <w:r>
        <w:rPr>
          <w:rFonts w:hint="eastAsia" w:ascii="宋体" w:hAnsi="宋体"/>
          <w:sz w:val="24"/>
        </w:rPr>
        <w:t xml:space="preserve">1 提供7*24小时现场技术支持和售后服务，持续、稳定、高效联网运行；提供售后服务热线，以便向采购人提供7×24小时的不间断服务。</w:t>
      </w:r>
      <w:r/>
    </w:p>
    <w:p>
      <w:pPr>
        <w:contextualSpacing/>
        <w:ind w:firstLine="480"/>
        <w:spacing w:line="570" w:lineRule="exact"/>
        <w:rPr>
          <w:rFonts w:ascii="宋体" w:hAnsi="宋体"/>
          <w:sz w:val="24"/>
        </w:rPr>
      </w:pPr>
      <w:r>
        <w:rPr>
          <w:rFonts w:ascii="宋体" w:hAnsi="宋体"/>
          <w:sz w:val="24"/>
        </w:rPr>
        <w:t xml:space="preserve">4.</w:t>
      </w:r>
      <w:r>
        <w:rPr>
          <w:rFonts w:hint="eastAsia" w:ascii="宋体" w:hAnsi="宋体"/>
          <w:sz w:val="24"/>
        </w:rPr>
        <w:t xml:space="preserve">2 质保期内应根据采购人需要免费提供现场技术支持服务和系统扩充、升级方面的技术支持服务。接到故障通知后，应在1小时内响应，如需上门维修的，应在3小时内到达现场，提出故障解决方案并排除故障，确保质保期内所有产品安全稳定使用，如36小时不能解决问题，需免费提供备用设备到位，确保正常使用。因人为因素出现的故障不在免费保修范围内。超过保修期的机器设备，终身维修，维修时只收部件成本费。</w:t>
      </w:r>
      <w:r/>
    </w:p>
    <w:p>
      <w:pPr>
        <w:contextualSpacing/>
        <w:ind w:firstLine="480"/>
        <w:spacing w:line="570" w:lineRule="exact"/>
        <w:rPr>
          <w:rFonts w:ascii="宋体" w:hAnsi="宋体"/>
          <w:b/>
          <w:sz w:val="24"/>
        </w:rPr>
      </w:pPr>
      <w:r>
        <w:rPr>
          <w:rFonts w:hint="eastAsia" w:ascii="宋体" w:hAnsi="宋体"/>
          <w:sz w:val="24"/>
        </w:rPr>
        <w:t xml:space="preserve">4.3 免费提供三年的平台运行维护服务，</w:t>
      </w:r>
      <w:r>
        <w:rPr>
          <w:rFonts w:hint="eastAsia" w:ascii="宋体" w:hAnsi="宋体"/>
          <w:sz w:val="24"/>
        </w:rPr>
        <w:t xml:space="preserve">自项目</w:t>
      </w:r>
      <w:r>
        <w:rPr>
          <w:rFonts w:hint="eastAsia" w:ascii="宋体" w:hAnsi="宋体"/>
          <w:sz w:val="24"/>
        </w:rPr>
        <w:t xml:space="preserve">验收合格之日起算。</w:t>
      </w:r>
      <w:r/>
    </w:p>
    <w:p>
      <w:pPr>
        <w:contextualSpacing/>
        <w:ind w:firstLine="482"/>
        <w:spacing w:line="570" w:lineRule="exact"/>
        <w:rPr>
          <w:rFonts w:ascii="宋体" w:hAnsi="宋体"/>
          <w:b/>
          <w:sz w:val="24"/>
        </w:rPr>
      </w:pPr>
      <w:r>
        <w:rPr>
          <w:rFonts w:ascii="宋体" w:hAnsi="宋体"/>
          <w:b/>
          <w:sz w:val="24"/>
        </w:rPr>
      </w:r>
      <w:r/>
    </w:p>
    <w:p>
      <w:pPr>
        <w:contextualSpacing/>
        <w:ind w:firstLine="482"/>
        <w:spacing w:line="570" w:lineRule="exact"/>
        <w:rPr>
          <w:rFonts w:ascii="宋体" w:hAnsi="宋体"/>
          <w:b/>
          <w:sz w:val="24"/>
        </w:rPr>
      </w:pPr>
      <w:r>
        <w:rPr>
          <w:rFonts w:hint="eastAsia" w:ascii="宋体" w:hAnsi="宋体"/>
          <w:b/>
          <w:sz w:val="24"/>
        </w:rPr>
        <w:t xml:space="preserve">5. 保险</w:t>
      </w:r>
      <w:r/>
    </w:p>
    <w:p>
      <w:pPr>
        <w:contextualSpacing/>
        <w:ind w:firstLine="480"/>
        <w:spacing w:line="570" w:lineRule="exact"/>
        <w:rPr>
          <w:rFonts w:ascii="宋体" w:hAnsi="宋体"/>
          <w:sz w:val="24"/>
        </w:rPr>
      </w:pPr>
      <w:r>
        <w:rPr>
          <w:rFonts w:hint="eastAsia" w:ascii="宋体" w:hAnsi="宋体"/>
          <w:sz w:val="24"/>
        </w:rPr>
        <w:t xml:space="preserve">无。</w:t>
      </w:r>
      <w:r/>
    </w:p>
    <w:p>
      <w:pPr>
        <w:contextualSpacing/>
        <w:ind w:firstLine="480"/>
        <w:spacing w:line="570" w:lineRule="exact"/>
        <w:rPr>
          <w:rFonts w:ascii="宋体" w:hAnsi="宋体"/>
          <w:i/>
          <w:sz w:val="24"/>
        </w:rPr>
      </w:pPr>
      <w:r>
        <w:rPr>
          <w:rFonts w:ascii="宋体" w:hAnsi="宋体"/>
          <w:i/>
          <w:sz w:val="24"/>
        </w:rPr>
      </w:r>
      <w:r/>
    </w:p>
    <w:p>
      <w:pPr>
        <w:pStyle w:val="938"/>
        <w:spacing w:line="570" w:lineRule="exact"/>
        <w:rPr>
          <w:rFonts w:ascii="宋体" w:hAnsi="宋体"/>
          <w:b/>
          <w:sz w:val="28"/>
          <w:szCs w:val="28"/>
          <w:lang w:eastAsia="zh-CN"/>
        </w:rPr>
      </w:pPr>
      <w:r>
        <w:rPr>
          <w:rFonts w:hint="eastAsia" w:ascii="宋体" w:hAnsi="宋体"/>
          <w:b/>
          <w:sz w:val="28"/>
          <w:szCs w:val="28"/>
          <w:lang w:eastAsia="zh-CN"/>
        </w:rPr>
        <w:t xml:space="preserve">三、技术要求</w:t>
      </w:r>
      <w:r/>
    </w:p>
    <w:p>
      <w:pPr>
        <w:contextualSpacing/>
        <w:ind w:firstLine="482"/>
        <w:spacing w:line="570" w:lineRule="exact"/>
        <w:rPr>
          <w:rFonts w:ascii="宋体" w:hAnsi="宋体"/>
          <w:b/>
          <w:sz w:val="24"/>
        </w:rPr>
      </w:pPr>
      <w:r>
        <w:rPr>
          <w:rFonts w:hint="eastAsia" w:ascii="宋体" w:hAnsi="宋体"/>
          <w:b/>
          <w:sz w:val="24"/>
        </w:rPr>
        <w:t xml:space="preserve">1. 基本要求</w:t>
      </w:r>
      <w:r/>
    </w:p>
    <w:p>
      <w:pPr>
        <w:contextualSpacing/>
        <w:ind w:firstLine="482"/>
        <w:spacing w:line="570" w:lineRule="exact"/>
        <w:rPr>
          <w:rFonts w:ascii="宋体" w:hAnsi="宋体"/>
          <w:b/>
          <w:sz w:val="24"/>
        </w:rPr>
      </w:pPr>
      <w:r>
        <w:rPr>
          <w:rFonts w:hint="eastAsia" w:ascii="宋体" w:hAnsi="宋体"/>
          <w:b/>
          <w:sz w:val="24"/>
        </w:rPr>
        <w:t xml:space="preserve">1.1 采购标的需实现的功能或者目标</w:t>
      </w:r>
      <w:r/>
    </w:p>
    <w:p>
      <w:pPr>
        <w:ind w:firstLine="480"/>
        <w:spacing w:line="360" w:lineRule="auto"/>
        <w:rPr>
          <w:rFonts w:ascii="宋体" w:hAnsi="宋体" w:cs="宋体"/>
          <w:sz w:val="24"/>
          <w:szCs w:val="24"/>
        </w:rPr>
      </w:pPr>
      <w:r>
        <w:rPr>
          <w:rFonts w:hint="eastAsia" w:ascii="宋体" w:hAnsi="宋体" w:cs="宋体"/>
          <w:sz w:val="24"/>
          <w:szCs w:val="24"/>
        </w:rPr>
        <w:t xml:space="preserve">1）政策依据</w:t>
      </w:r>
      <w:r/>
    </w:p>
    <w:p>
      <w:pPr>
        <w:ind w:firstLine="480"/>
        <w:spacing w:line="360" w:lineRule="auto"/>
        <w:rPr>
          <w:rFonts w:ascii="宋体" w:hAnsi="宋体" w:cs="宋体"/>
          <w:sz w:val="24"/>
          <w:szCs w:val="24"/>
        </w:rPr>
      </w:pPr>
      <w:r>
        <w:rPr>
          <w:rFonts w:hint="eastAsia" w:ascii="宋体" w:hAnsi="宋体" w:cs="宋体"/>
          <w:sz w:val="24"/>
          <w:szCs w:val="24"/>
        </w:rPr>
        <w:t xml:space="preserve">《江苏省城市管理示范市（县）”创建管理办法和标准的通知》（苏城管联〔2023〕1）</w:t>
      </w:r>
      <w:r/>
    </w:p>
    <w:p>
      <w:pPr>
        <w:ind w:firstLine="480"/>
        <w:spacing w:line="360" w:lineRule="auto"/>
        <w:rPr>
          <w:rFonts w:ascii="宋体" w:hAnsi="宋体" w:cs="宋体"/>
          <w:sz w:val="24"/>
          <w:szCs w:val="24"/>
        </w:rPr>
      </w:pPr>
      <w:r>
        <w:rPr>
          <w:rFonts w:hint="eastAsia" w:ascii="宋体" w:hAnsi="宋体" w:cs="宋体"/>
          <w:sz w:val="24"/>
          <w:szCs w:val="24"/>
        </w:rPr>
        <w:t xml:space="preserve">《常州市“十四五”智慧城市建设规划》</w:t>
      </w:r>
      <w:r/>
    </w:p>
    <w:p>
      <w:pPr>
        <w:ind w:firstLine="480"/>
        <w:spacing w:line="360" w:lineRule="auto"/>
        <w:rPr>
          <w:rFonts w:ascii="宋体" w:hAnsi="宋体" w:cs="宋体"/>
          <w:sz w:val="24"/>
          <w:szCs w:val="24"/>
        </w:rPr>
      </w:pPr>
      <w:r/>
      <w:bookmarkStart w:id="177" w:name="_Hlk131604695"/>
      <w:r>
        <w:rPr>
          <w:rFonts w:hint="eastAsia" w:ascii="宋体" w:hAnsi="宋体" w:cs="宋体"/>
          <w:sz w:val="24"/>
          <w:szCs w:val="24"/>
        </w:rPr>
        <w:t xml:space="preserve">《常州市城市运行“一网统管”工作三年行动计划（2022-2024年）》的通知</w:t>
      </w:r>
      <w:bookmarkEnd w:id="177"/>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关于印发</w:t>
      </w:r>
      <w:bookmarkStart w:id="178" w:name="_Hlk131597449"/>
      <w:r>
        <w:rPr>
          <w:rFonts w:hint="eastAsia" w:ascii="宋体" w:hAnsi="宋体" w:cs="宋体"/>
          <w:sz w:val="24"/>
          <w:szCs w:val="24"/>
        </w:rPr>
        <w:t xml:space="preserve">《常州市城市运行“一网统管”（政府数字化转型场景）2023年任务清单》</w:t>
      </w:r>
      <w:bookmarkEnd w:id="178"/>
      <w:r>
        <w:rPr>
          <w:rFonts w:hint="eastAsia" w:ascii="宋体" w:hAnsi="宋体" w:cs="宋体"/>
          <w:sz w:val="24"/>
          <w:szCs w:val="24"/>
        </w:rPr>
        <w:t xml:space="preserve">的通知》</w:t>
      </w:r>
      <w:r/>
    </w:p>
    <w:p>
      <w:pPr>
        <w:ind w:firstLine="480"/>
        <w:spacing w:line="360" w:lineRule="auto"/>
        <w:rPr>
          <w:rFonts w:ascii="宋体" w:hAnsi="宋体" w:cs="宋体"/>
          <w:sz w:val="24"/>
          <w:szCs w:val="24"/>
        </w:rPr>
      </w:pPr>
      <w:r/>
      <w:bookmarkStart w:id="179" w:name="_Hlk149052966"/>
      <w:r>
        <w:rPr>
          <w:rFonts w:hint="eastAsia" w:ascii="宋体" w:hAnsi="宋体" w:cs="宋体"/>
          <w:sz w:val="24"/>
          <w:szCs w:val="24"/>
        </w:rPr>
        <w:t xml:space="preserve">《常州市创建“江苏省城市管理示范市”实施方案》</w:t>
      </w:r>
      <w:bookmarkEnd w:id="179"/>
      <w:r/>
      <w:r/>
    </w:p>
    <w:p>
      <w:pPr>
        <w:ind w:firstLine="482"/>
        <w:spacing w:line="360" w:lineRule="auto"/>
        <w:rPr>
          <w:rFonts w:ascii="宋体" w:hAnsi="宋体"/>
          <w:b/>
          <w:sz w:val="24"/>
        </w:rPr>
      </w:pPr>
      <w:r>
        <w:rPr>
          <w:rFonts w:hint="eastAsia" w:ascii="宋体" w:hAnsi="宋体"/>
          <w:b/>
          <w:sz w:val="24"/>
        </w:rPr>
        <w:t xml:space="preserve">1.2 需执行的国家相关标准、行业标准、地方标准或者其他标准、规范</w:t>
      </w:r>
      <w:r/>
    </w:p>
    <w:p>
      <w:pPr>
        <w:ind w:firstLine="480"/>
        <w:spacing w:line="360" w:lineRule="auto"/>
        <w:rPr>
          <w:rFonts w:ascii="宋体" w:hAnsi="宋体" w:cs="宋体"/>
          <w:sz w:val="24"/>
          <w:szCs w:val="24"/>
        </w:rPr>
      </w:pPr>
      <w:r>
        <w:rPr>
          <w:rFonts w:hint="eastAsia" w:ascii="宋体" w:hAnsi="宋体" w:cs="宋体"/>
          <w:sz w:val="24"/>
          <w:szCs w:val="24"/>
        </w:rPr>
        <w:t xml:space="preserve">1）技术与数据标准及依据</w:t>
      </w:r>
      <w:r/>
    </w:p>
    <w:p>
      <w:pPr>
        <w:ind w:firstLine="480"/>
        <w:spacing w:line="360" w:lineRule="auto"/>
        <w:rPr>
          <w:rFonts w:ascii="宋体" w:hAnsi="宋体" w:cs="宋体"/>
          <w:sz w:val="24"/>
          <w:szCs w:val="24"/>
        </w:rPr>
      </w:pPr>
      <w:r>
        <w:rPr>
          <w:rFonts w:hint="eastAsia" w:ascii="宋体" w:hAnsi="宋体" w:cs="宋体"/>
          <w:sz w:val="24"/>
          <w:szCs w:val="24"/>
        </w:rPr>
        <w:t xml:space="preserve">《智慧城市领域知识模型核心概念模型》（GB/T 36332-2018）</w:t>
      </w:r>
      <w:r/>
    </w:p>
    <w:p>
      <w:pPr>
        <w:ind w:firstLine="480"/>
        <w:spacing w:line="360" w:lineRule="auto"/>
        <w:rPr>
          <w:rFonts w:ascii="宋体" w:hAnsi="宋体" w:cs="宋体"/>
          <w:sz w:val="24"/>
          <w:szCs w:val="24"/>
        </w:rPr>
      </w:pPr>
      <w:r>
        <w:rPr>
          <w:rFonts w:hint="eastAsia" w:ascii="宋体" w:hAnsi="宋体" w:cs="宋体"/>
          <w:sz w:val="24"/>
          <w:szCs w:val="24"/>
        </w:rPr>
        <w:t xml:space="preserve">《智慧城市顶层设计指南》（GB/T 36333-2018）</w:t>
      </w:r>
      <w:r/>
    </w:p>
    <w:p>
      <w:pPr>
        <w:ind w:firstLine="480"/>
        <w:spacing w:line="360" w:lineRule="auto"/>
        <w:rPr>
          <w:rFonts w:ascii="宋体" w:hAnsi="宋体" w:cs="宋体"/>
          <w:sz w:val="24"/>
          <w:szCs w:val="24"/>
        </w:rPr>
      </w:pPr>
      <w:r>
        <w:rPr>
          <w:rFonts w:hint="eastAsia" w:ascii="宋体" w:hAnsi="宋体" w:cs="宋体"/>
          <w:sz w:val="24"/>
          <w:szCs w:val="24"/>
        </w:rPr>
        <w:t xml:space="preserve">《智慧城市软件服务预算管理规范》（GB/T 36334-2018）</w:t>
      </w:r>
      <w:r/>
    </w:p>
    <w:p>
      <w:pPr>
        <w:ind w:firstLine="480"/>
        <w:spacing w:line="360" w:lineRule="auto"/>
        <w:rPr>
          <w:rFonts w:ascii="宋体" w:hAnsi="宋体" w:cs="宋体"/>
          <w:sz w:val="24"/>
          <w:szCs w:val="24"/>
        </w:rPr>
      </w:pPr>
      <w:r>
        <w:rPr>
          <w:rFonts w:hint="eastAsia" w:ascii="宋体" w:hAnsi="宋体" w:cs="宋体"/>
          <w:sz w:val="24"/>
          <w:szCs w:val="24"/>
        </w:rPr>
        <w:t xml:space="preserve">《智慧城市 SOA标准应用指南》（GB/T 36445-2018）</w:t>
      </w:r>
      <w:r/>
    </w:p>
    <w:p>
      <w:pPr>
        <w:ind w:firstLine="480"/>
        <w:spacing w:line="360" w:lineRule="auto"/>
        <w:rPr>
          <w:rFonts w:ascii="宋体" w:hAnsi="宋体" w:cs="宋体"/>
          <w:sz w:val="24"/>
          <w:szCs w:val="24"/>
        </w:rPr>
      </w:pPr>
      <w:r>
        <w:rPr>
          <w:rFonts w:hint="eastAsia" w:ascii="宋体" w:hAnsi="宋体" w:cs="宋体"/>
          <w:sz w:val="24"/>
          <w:szCs w:val="24"/>
        </w:rPr>
        <w:t xml:space="preserve">《智慧城市数据融合》（GB/T 36625）</w:t>
      </w:r>
      <w:r/>
    </w:p>
    <w:p>
      <w:pPr>
        <w:ind w:firstLine="480"/>
        <w:spacing w:line="360" w:lineRule="auto"/>
        <w:rPr>
          <w:rFonts w:ascii="宋体" w:hAnsi="宋体" w:cs="宋体"/>
          <w:sz w:val="24"/>
          <w:szCs w:val="24"/>
        </w:rPr>
      </w:pPr>
      <w:r>
        <w:rPr>
          <w:rFonts w:hint="eastAsia" w:ascii="宋体" w:hAnsi="宋体" w:cs="宋体"/>
          <w:sz w:val="24"/>
          <w:szCs w:val="24"/>
        </w:rPr>
        <w:t xml:space="preserve">《城市运行管理服务平台数据标准（试行）》</w:t>
      </w:r>
      <w:r/>
    </w:p>
    <w:p>
      <w:pPr>
        <w:ind w:firstLine="480"/>
        <w:spacing w:line="360" w:lineRule="auto"/>
        <w:rPr>
          <w:rFonts w:ascii="宋体" w:hAnsi="宋体" w:cs="宋体"/>
          <w:sz w:val="24"/>
          <w:szCs w:val="24"/>
        </w:rPr>
      </w:pPr>
      <w:r>
        <w:rPr>
          <w:rFonts w:hint="eastAsia" w:ascii="宋体" w:hAnsi="宋体" w:cs="宋体"/>
          <w:sz w:val="24"/>
          <w:szCs w:val="24"/>
        </w:rPr>
        <w:t xml:space="preserve">《城市运行管理服务平台建设指南(试行）》</w:t>
      </w:r>
      <w:r/>
    </w:p>
    <w:p>
      <w:pPr>
        <w:ind w:firstLine="480"/>
        <w:spacing w:line="360" w:lineRule="auto"/>
        <w:rPr>
          <w:rFonts w:ascii="宋体" w:hAnsi="宋体" w:cs="宋体"/>
          <w:sz w:val="24"/>
          <w:szCs w:val="24"/>
        </w:rPr>
      </w:pPr>
      <w:r>
        <w:rPr>
          <w:rFonts w:hint="eastAsia" w:ascii="宋体" w:hAnsi="宋体" w:cs="宋体"/>
          <w:sz w:val="24"/>
          <w:szCs w:val="24"/>
        </w:rPr>
        <w:t xml:space="preserve">《信息技术大数据术语》（20141191-T-469）</w:t>
      </w:r>
      <w:r/>
    </w:p>
    <w:p>
      <w:pPr>
        <w:ind w:firstLine="480"/>
        <w:spacing w:line="360" w:lineRule="auto"/>
        <w:rPr>
          <w:rFonts w:ascii="宋体" w:hAnsi="宋体" w:cs="宋体"/>
          <w:sz w:val="24"/>
          <w:szCs w:val="24"/>
        </w:rPr>
      </w:pPr>
      <w:r>
        <w:rPr>
          <w:rFonts w:hint="eastAsia" w:ascii="宋体" w:hAnsi="宋体" w:cs="宋体"/>
          <w:sz w:val="24"/>
          <w:szCs w:val="24"/>
        </w:rPr>
        <w:t xml:space="preserve">《信息技术大数据参考架构》（20141191-T-469）</w:t>
      </w:r>
      <w:r/>
    </w:p>
    <w:p>
      <w:pPr>
        <w:ind w:firstLine="480"/>
        <w:spacing w:line="360" w:lineRule="auto"/>
        <w:rPr>
          <w:rFonts w:ascii="宋体" w:hAnsi="宋体" w:cs="宋体"/>
          <w:sz w:val="24"/>
          <w:szCs w:val="24"/>
        </w:rPr>
      </w:pPr>
      <w:r>
        <w:rPr>
          <w:rFonts w:hint="eastAsia" w:ascii="宋体" w:hAnsi="宋体" w:cs="宋体"/>
          <w:sz w:val="24"/>
          <w:szCs w:val="24"/>
        </w:rPr>
        <w:t xml:space="preserve">《基于云计算的电子政务公共平台顶层设计指南》（工信部，2013年4月）</w:t>
      </w:r>
      <w:r/>
    </w:p>
    <w:p>
      <w:pPr>
        <w:ind w:firstLine="480"/>
        <w:spacing w:line="360" w:lineRule="auto"/>
        <w:rPr>
          <w:rFonts w:ascii="宋体" w:hAnsi="宋体" w:cs="宋体"/>
          <w:sz w:val="24"/>
          <w:szCs w:val="24"/>
        </w:rPr>
      </w:pPr>
      <w:r>
        <w:rPr>
          <w:rFonts w:hint="eastAsia" w:ascii="宋体" w:hAnsi="宋体" w:cs="宋体"/>
          <w:sz w:val="24"/>
          <w:szCs w:val="24"/>
        </w:rPr>
        <w:t xml:space="preserve">《关系数据管理系统技术要求》（GB/T 28821-2012）</w:t>
      </w:r>
      <w:r/>
    </w:p>
    <w:p>
      <w:pPr>
        <w:ind w:firstLine="480"/>
        <w:spacing w:line="360" w:lineRule="auto"/>
        <w:rPr>
          <w:rFonts w:ascii="宋体" w:hAnsi="宋体" w:cs="宋体"/>
          <w:sz w:val="24"/>
          <w:szCs w:val="24"/>
        </w:rPr>
      </w:pPr>
      <w:r>
        <w:rPr>
          <w:rFonts w:hint="eastAsia" w:ascii="宋体" w:hAnsi="宋体" w:cs="宋体"/>
          <w:sz w:val="24"/>
          <w:szCs w:val="24"/>
        </w:rPr>
        <w:t xml:space="preserve">《政务信息资源目录体系》（GB/T 21063-2007）</w:t>
      </w:r>
      <w:r/>
    </w:p>
    <w:p>
      <w:pPr>
        <w:ind w:firstLine="480"/>
        <w:spacing w:line="360" w:lineRule="auto"/>
        <w:rPr>
          <w:rFonts w:ascii="宋体" w:hAnsi="宋体" w:cs="宋体"/>
          <w:sz w:val="24"/>
          <w:szCs w:val="24"/>
        </w:rPr>
      </w:pPr>
      <w:r>
        <w:rPr>
          <w:rFonts w:hint="eastAsia" w:ascii="宋体" w:hAnsi="宋体" w:cs="宋体"/>
          <w:sz w:val="24"/>
          <w:szCs w:val="24"/>
        </w:rPr>
        <w:t xml:space="preserve">《政务信息资源交换体系》（GB/T 21062-2007）</w:t>
      </w:r>
      <w:r/>
    </w:p>
    <w:p>
      <w:pPr>
        <w:ind w:firstLine="480"/>
        <w:spacing w:line="360" w:lineRule="auto"/>
        <w:rPr>
          <w:rFonts w:ascii="宋体" w:hAnsi="宋体" w:cs="宋体"/>
          <w:sz w:val="24"/>
          <w:szCs w:val="24"/>
        </w:rPr>
      </w:pPr>
      <w:r>
        <w:rPr>
          <w:rFonts w:hint="eastAsia" w:ascii="宋体" w:hAnsi="宋体" w:cs="宋体"/>
          <w:sz w:val="24"/>
          <w:szCs w:val="24"/>
        </w:rPr>
        <w:t xml:space="preserve">2）安全建设依据</w:t>
      </w:r>
      <w:r/>
    </w:p>
    <w:p>
      <w:pPr>
        <w:ind w:firstLine="480"/>
        <w:spacing w:line="360" w:lineRule="auto"/>
        <w:rPr>
          <w:rFonts w:ascii="宋体" w:hAnsi="宋体" w:cs="宋体"/>
          <w:sz w:val="24"/>
          <w:szCs w:val="24"/>
        </w:rPr>
      </w:pPr>
      <w:r>
        <w:rPr>
          <w:rFonts w:hint="eastAsia" w:ascii="宋体" w:hAnsi="宋体" w:cs="宋体"/>
          <w:sz w:val="24"/>
          <w:szCs w:val="24"/>
        </w:rPr>
        <w:t xml:space="preserve">《中华人民共和国网络安全法》</w:t>
      </w:r>
      <w:r/>
    </w:p>
    <w:p>
      <w:pPr>
        <w:ind w:firstLine="480"/>
        <w:spacing w:line="360" w:lineRule="auto"/>
        <w:rPr>
          <w:rFonts w:ascii="宋体" w:hAnsi="宋体" w:cs="宋体"/>
          <w:sz w:val="24"/>
          <w:szCs w:val="24"/>
        </w:rPr>
      </w:pPr>
      <w:r>
        <w:rPr>
          <w:rFonts w:hint="eastAsia" w:ascii="宋体" w:hAnsi="宋体" w:cs="宋体"/>
          <w:sz w:val="24"/>
          <w:szCs w:val="24"/>
        </w:rPr>
        <w:t xml:space="preserve">《中华人民共和国数据安全法》</w:t>
      </w:r>
      <w:r/>
    </w:p>
    <w:p>
      <w:pPr>
        <w:ind w:firstLine="480"/>
        <w:spacing w:line="360" w:lineRule="auto"/>
        <w:rPr>
          <w:rFonts w:ascii="宋体" w:hAnsi="宋体" w:cs="宋体"/>
          <w:sz w:val="24"/>
          <w:szCs w:val="24"/>
        </w:rPr>
      </w:pPr>
      <w:r>
        <w:rPr>
          <w:rFonts w:hint="eastAsia" w:ascii="宋体" w:hAnsi="宋体" w:cs="宋体"/>
          <w:sz w:val="24"/>
          <w:szCs w:val="24"/>
        </w:rPr>
        <w:t xml:space="preserve">《中华人民共和国个人信息保护法》</w:t>
      </w:r>
      <w:r/>
    </w:p>
    <w:p>
      <w:pPr>
        <w:ind w:firstLine="480"/>
        <w:spacing w:line="360" w:lineRule="auto"/>
        <w:rPr>
          <w:rFonts w:ascii="宋体" w:hAnsi="宋体" w:cs="宋体"/>
          <w:sz w:val="24"/>
          <w:szCs w:val="24"/>
        </w:rPr>
      </w:pPr>
      <w:r>
        <w:rPr>
          <w:rFonts w:hint="eastAsia" w:ascii="宋体" w:hAnsi="宋体" w:cs="宋体"/>
          <w:sz w:val="24"/>
          <w:szCs w:val="24"/>
        </w:rPr>
        <w:t xml:space="preserve">《中华人民共和国计算机信息系统安全保护条例》</w:t>
      </w:r>
      <w:r/>
    </w:p>
    <w:p>
      <w:pPr>
        <w:ind w:firstLine="480"/>
        <w:spacing w:line="360" w:lineRule="auto"/>
        <w:rPr>
          <w:rFonts w:ascii="宋体" w:hAnsi="宋体" w:cs="宋体"/>
          <w:sz w:val="24"/>
          <w:szCs w:val="24"/>
        </w:rPr>
      </w:pPr>
      <w:r>
        <w:rPr>
          <w:rFonts w:hint="eastAsia" w:ascii="宋体" w:hAnsi="宋体" w:cs="宋体"/>
          <w:sz w:val="24"/>
          <w:szCs w:val="24"/>
        </w:rPr>
        <w:t xml:space="preserve">《网络安全等级保护条例》</w:t>
      </w:r>
      <w:r/>
    </w:p>
    <w:p>
      <w:pPr>
        <w:ind w:firstLine="480"/>
        <w:spacing w:line="360" w:lineRule="auto"/>
        <w:rPr>
          <w:rFonts w:ascii="宋体" w:hAnsi="宋体" w:cs="宋体"/>
          <w:sz w:val="24"/>
          <w:szCs w:val="24"/>
        </w:rPr>
      </w:pPr>
      <w:r>
        <w:rPr>
          <w:rFonts w:hint="eastAsia" w:ascii="宋体" w:hAnsi="宋体" w:cs="宋体"/>
          <w:sz w:val="24"/>
          <w:szCs w:val="24"/>
        </w:rPr>
        <w:t xml:space="preserve">《计算机信息系统安全保护等级划分准则》（GB 17859-1999）</w:t>
      </w:r>
      <w:r/>
    </w:p>
    <w:p>
      <w:pPr>
        <w:ind w:firstLine="480"/>
        <w:spacing w:line="360" w:lineRule="auto"/>
        <w:rPr>
          <w:rFonts w:ascii="宋体" w:hAnsi="宋体" w:cs="宋体"/>
          <w:sz w:val="24"/>
          <w:szCs w:val="24"/>
        </w:rPr>
      </w:pPr>
      <w:r>
        <w:rPr>
          <w:rFonts w:hint="eastAsia" w:ascii="宋体" w:hAnsi="宋体" w:cs="宋体"/>
          <w:sz w:val="24"/>
          <w:szCs w:val="24"/>
        </w:rPr>
        <w:t xml:space="preserve">《网络安全等级保护实施指南》（GB/T25058-2020）</w:t>
      </w:r>
      <w:r/>
    </w:p>
    <w:p>
      <w:pPr>
        <w:ind w:firstLine="480"/>
        <w:spacing w:line="360" w:lineRule="auto"/>
        <w:rPr>
          <w:rFonts w:ascii="宋体" w:hAnsi="宋体" w:cs="宋体"/>
          <w:sz w:val="24"/>
          <w:szCs w:val="24"/>
        </w:rPr>
      </w:pPr>
      <w:r>
        <w:rPr>
          <w:rFonts w:hint="eastAsia" w:ascii="宋体" w:hAnsi="宋体" w:cs="宋体"/>
          <w:sz w:val="24"/>
          <w:szCs w:val="24"/>
        </w:rPr>
        <w:t xml:space="preserve">《网络安全等级保护定级指南》（GB/T22240-2020）</w:t>
      </w:r>
      <w:r/>
    </w:p>
    <w:p>
      <w:pPr>
        <w:ind w:firstLine="480"/>
        <w:spacing w:line="360" w:lineRule="auto"/>
        <w:rPr>
          <w:rFonts w:ascii="宋体" w:hAnsi="宋体" w:cs="宋体"/>
          <w:sz w:val="24"/>
          <w:szCs w:val="24"/>
        </w:rPr>
      </w:pPr>
      <w:r>
        <w:rPr>
          <w:rFonts w:hint="eastAsia" w:ascii="宋体" w:hAnsi="宋体" w:cs="宋体"/>
          <w:sz w:val="24"/>
          <w:szCs w:val="24"/>
        </w:rPr>
        <w:t xml:space="preserve">《网络安全等级保护基本要求》（GB/T22239-2019）</w:t>
      </w:r>
      <w:r/>
    </w:p>
    <w:p>
      <w:pPr>
        <w:ind w:firstLine="480"/>
        <w:spacing w:line="360" w:lineRule="auto"/>
        <w:rPr>
          <w:rFonts w:ascii="宋体" w:hAnsi="宋体" w:cs="宋体"/>
          <w:sz w:val="24"/>
          <w:szCs w:val="24"/>
        </w:rPr>
      </w:pPr>
      <w:r>
        <w:rPr>
          <w:rFonts w:hint="eastAsia" w:ascii="宋体" w:hAnsi="宋体" w:cs="宋体"/>
          <w:sz w:val="24"/>
          <w:szCs w:val="24"/>
        </w:rPr>
        <w:t xml:space="preserve">《网络安全等级保护设计技术要求》（GB/T25070-2019）</w:t>
      </w:r>
      <w:r/>
    </w:p>
    <w:p>
      <w:pPr>
        <w:ind w:firstLine="480"/>
        <w:spacing w:line="360" w:lineRule="auto"/>
        <w:rPr>
          <w:rFonts w:ascii="宋体" w:hAnsi="宋体" w:cs="宋体"/>
          <w:sz w:val="24"/>
          <w:szCs w:val="24"/>
        </w:rPr>
      </w:pPr>
      <w:r>
        <w:rPr>
          <w:rFonts w:hint="eastAsia" w:ascii="宋体" w:hAnsi="宋体" w:cs="宋体"/>
          <w:sz w:val="24"/>
          <w:szCs w:val="24"/>
        </w:rPr>
        <w:t xml:space="preserve">《网络安全等级保护测评要求》（GB/T28448-2019）</w:t>
      </w:r>
      <w:r/>
    </w:p>
    <w:p>
      <w:pPr>
        <w:ind w:firstLine="480"/>
        <w:spacing w:line="360" w:lineRule="auto"/>
        <w:rPr>
          <w:rFonts w:ascii="宋体" w:hAnsi="宋体" w:cs="宋体"/>
          <w:sz w:val="24"/>
          <w:szCs w:val="24"/>
        </w:rPr>
      </w:pPr>
      <w:r>
        <w:rPr>
          <w:rFonts w:hint="eastAsia" w:ascii="宋体" w:hAnsi="宋体" w:cs="宋体"/>
          <w:sz w:val="24"/>
          <w:szCs w:val="24"/>
        </w:rPr>
        <w:t xml:space="preserve">《网络安全等级保护测评过程指南》（GB/T28449-2018）</w:t>
      </w:r>
      <w:r/>
    </w:p>
    <w:p>
      <w:pPr>
        <w:ind w:firstLine="480"/>
        <w:spacing w:line="360" w:lineRule="auto"/>
        <w:rPr>
          <w:rFonts w:ascii="宋体" w:hAnsi="宋体" w:cs="宋体"/>
          <w:sz w:val="24"/>
          <w:szCs w:val="24"/>
        </w:rPr>
      </w:pPr>
      <w:r>
        <w:rPr>
          <w:rFonts w:hint="eastAsia" w:ascii="宋体" w:hAnsi="宋体" w:cs="宋体"/>
          <w:sz w:val="24"/>
          <w:szCs w:val="24"/>
        </w:rPr>
        <w:t xml:space="preserve">《信息安全技术政府部门信息安全管理基本要求》</w:t>
      </w:r>
      <w:r/>
    </w:p>
    <w:p>
      <w:pPr>
        <w:ind w:firstLine="480"/>
        <w:spacing w:line="360" w:lineRule="auto"/>
        <w:rPr>
          <w:rFonts w:ascii="宋体" w:hAnsi="宋体" w:cs="宋体"/>
          <w:sz w:val="24"/>
          <w:szCs w:val="24"/>
        </w:rPr>
      </w:pPr>
      <w:r>
        <w:rPr>
          <w:rFonts w:hint="eastAsia" w:ascii="宋体" w:hAnsi="宋体" w:cs="宋体"/>
          <w:sz w:val="24"/>
          <w:szCs w:val="24"/>
        </w:rPr>
        <w:t xml:space="preserve">《国家政务信息化项目建设管理办法》（国办发〔2019〕57号）</w:t>
      </w:r>
      <w:r/>
    </w:p>
    <w:p>
      <w:pPr>
        <w:ind w:firstLine="480"/>
        <w:spacing w:line="360" w:lineRule="auto"/>
        <w:rPr>
          <w:rFonts w:ascii="宋体" w:hAnsi="宋体" w:cs="宋体"/>
          <w:sz w:val="24"/>
          <w:szCs w:val="24"/>
        </w:rPr>
      </w:pPr>
      <w:r>
        <w:rPr>
          <w:rFonts w:hint="eastAsia" w:ascii="宋体" w:hAnsi="宋体" w:cs="宋体"/>
          <w:sz w:val="24"/>
          <w:szCs w:val="24"/>
        </w:rPr>
        <w:t xml:space="preserve">《信息安全技术 信息安全风险评估方法》（GB/T 20984-2022）</w:t>
      </w:r>
      <w:r/>
    </w:p>
    <w:p>
      <w:pPr>
        <w:ind w:firstLine="480"/>
        <w:spacing w:line="360" w:lineRule="auto"/>
        <w:rPr>
          <w:rFonts w:ascii="宋体" w:hAnsi="宋体" w:cs="宋体"/>
          <w:sz w:val="24"/>
          <w:szCs w:val="24"/>
        </w:rPr>
      </w:pPr>
      <w:r>
        <w:rPr>
          <w:rFonts w:hint="eastAsia" w:ascii="宋体" w:hAnsi="宋体" w:cs="宋体"/>
          <w:sz w:val="24"/>
          <w:szCs w:val="24"/>
        </w:rPr>
        <w:t xml:space="preserve">《常州市政务信息化项目建设网络安全管理规定》（</w:t>
      </w:r>
      <w:r>
        <w:rPr>
          <w:rFonts w:hint="eastAsia" w:ascii="宋体" w:hAnsi="宋体" w:cs="宋体"/>
          <w:sz w:val="24"/>
          <w:szCs w:val="24"/>
        </w:rPr>
        <w:t xml:space="preserve">常网信委</w:t>
      </w:r>
      <w:r>
        <w:rPr>
          <w:rFonts w:hint="eastAsia" w:ascii="宋体" w:hAnsi="宋体" w:cs="宋体"/>
          <w:sz w:val="24"/>
          <w:szCs w:val="24"/>
        </w:rPr>
        <w:t xml:space="preserve">〔2022〕5号）</w:t>
      </w:r>
      <w:r/>
    </w:p>
    <w:p>
      <w:pPr>
        <w:ind w:firstLine="480"/>
        <w:spacing w:line="360" w:lineRule="auto"/>
        <w:rPr>
          <w:rFonts w:ascii="宋体" w:hAnsi="宋体" w:cs="宋体"/>
          <w:sz w:val="24"/>
          <w:szCs w:val="24"/>
        </w:rPr>
      </w:pPr>
      <w:r>
        <w:rPr>
          <w:rFonts w:hint="eastAsia" w:ascii="宋体" w:hAnsi="宋体" w:cs="宋体"/>
          <w:sz w:val="24"/>
          <w:szCs w:val="24"/>
        </w:rPr>
        <w:t xml:space="preserve">《关于开展2023年拟新建政务信息化项目设计方案网络安全审核的通知》（</w:t>
      </w:r>
      <w:r>
        <w:rPr>
          <w:rFonts w:hint="eastAsia" w:ascii="宋体" w:hAnsi="宋体" w:cs="宋体"/>
          <w:sz w:val="24"/>
          <w:szCs w:val="24"/>
        </w:rPr>
        <w:t xml:space="preserve">常网办</w:t>
      </w:r>
      <w:r>
        <w:rPr>
          <w:rFonts w:hint="eastAsia" w:ascii="宋体" w:hAnsi="宋体" w:cs="宋体"/>
          <w:sz w:val="24"/>
          <w:szCs w:val="24"/>
        </w:rPr>
        <w:t xml:space="preserve">通〔2023〕7 号）</w:t>
      </w:r>
      <w:r/>
    </w:p>
    <w:p>
      <w:pPr>
        <w:ind w:firstLine="480"/>
        <w:spacing w:line="360" w:lineRule="auto"/>
        <w:rPr>
          <w:rFonts w:ascii="宋体" w:hAnsi="宋体" w:cs="宋体"/>
          <w:sz w:val="24"/>
          <w:szCs w:val="24"/>
        </w:rPr>
      </w:pPr>
      <w:r>
        <w:rPr>
          <w:rFonts w:hint="eastAsia" w:ascii="宋体" w:hAnsi="宋体" w:cs="宋体"/>
          <w:sz w:val="24"/>
          <w:szCs w:val="24"/>
        </w:rPr>
        <w:t xml:space="preserve">《常州市政务信息化项目建设网络安全管理规定》</w:t>
      </w:r>
      <w:r/>
    </w:p>
    <w:p>
      <w:pPr>
        <w:spacing w:line="360" w:lineRule="auto"/>
        <w:rPr>
          <w:rFonts w:ascii="宋体" w:hAnsi="宋体"/>
          <w:sz w:val="24"/>
        </w:rPr>
      </w:pPr>
      <w:r>
        <w:rPr>
          <w:rFonts w:hint="eastAsia" w:ascii="宋体" w:hAnsi="宋体" w:cs="宋体"/>
          <w:b/>
          <w:bCs/>
          <w:sz w:val="24"/>
        </w:rPr>
        <w:t xml:space="preserve">注:如有最新的国家相关标准、行业标准、地方标准或者其他标准、规范按最新的执行。</w:t>
      </w:r>
      <w:r/>
    </w:p>
    <w:p>
      <w:pPr>
        <w:contextualSpacing/>
        <w:ind w:firstLine="482"/>
        <w:spacing w:line="570" w:lineRule="exact"/>
        <w:rPr>
          <w:rFonts w:ascii="宋体" w:hAnsi="宋体"/>
          <w:b/>
          <w:sz w:val="24"/>
        </w:rPr>
      </w:pPr>
      <w:r>
        <w:rPr>
          <w:rFonts w:hint="eastAsia" w:ascii="宋体" w:hAnsi="宋体"/>
          <w:b/>
          <w:sz w:val="24"/>
        </w:rPr>
        <w:t xml:space="preserve">2. 服务内容及要求</w:t>
      </w:r>
      <w:r/>
    </w:p>
    <w:p>
      <w:pPr>
        <w:contextualSpacing/>
        <w:ind w:firstLine="482"/>
        <w:spacing w:line="570" w:lineRule="exact"/>
        <w:rPr>
          <w:rFonts w:ascii="宋体" w:hAnsi="宋体"/>
          <w:b/>
          <w:sz w:val="24"/>
        </w:rPr>
      </w:pPr>
      <w:r>
        <w:rPr>
          <w:rFonts w:hint="eastAsia" w:ascii="宋体" w:hAnsi="宋体"/>
          <w:b/>
          <w:sz w:val="24"/>
        </w:rPr>
        <w:t xml:space="preserve">2</w:t>
      </w:r>
      <w:r>
        <w:rPr>
          <w:rFonts w:ascii="宋体" w:hAnsi="宋体"/>
          <w:b/>
          <w:sz w:val="24"/>
        </w:rPr>
        <w:t xml:space="preserve">.1</w:t>
      </w:r>
      <w:r>
        <w:rPr>
          <w:rFonts w:hint="eastAsia" w:ascii="宋体" w:hAnsi="宋体"/>
          <w:b/>
          <w:sz w:val="24"/>
        </w:rPr>
        <w:t xml:space="preserve">采购项目清单</w:t>
      </w:r>
      <w:r/>
    </w:p>
    <w:p>
      <w:pPr>
        <w:jc w:val="center"/>
      </w:pPr>
      <w:r>
        <w:rPr>
          <w:rFonts w:hint="eastAsia" w:ascii="宋体" w:hAnsi="宋体" w:cs="宋体"/>
          <w:b/>
          <w:bCs/>
          <w:color w:val="000000"/>
          <w:szCs w:val="21"/>
        </w:rPr>
        <w:t xml:space="preserve">（一）转站运行监管模块及配套设备（新北城管）</w:t>
      </w:r>
      <w:r/>
    </w:p>
    <w:tbl>
      <w:tblPr>
        <w:tblW w:w="4978" w:type="pct"/>
        <w:tblLook w:val="04A0" w:firstRow="1" w:lastRow="0" w:firstColumn="1" w:lastColumn="0" w:noHBand="0" w:noVBand="1"/>
      </w:tblPr>
      <w:tblGrid>
        <w:gridCol w:w="726"/>
        <w:gridCol w:w="1604"/>
        <w:gridCol w:w="2316"/>
        <w:gridCol w:w="4061"/>
        <w:gridCol w:w="976"/>
      </w:tblGrid>
      <w:tr>
        <w:trPr>
          <w:trHeight w:val="290"/>
        </w:trPr>
        <w:tc>
          <w:tcPr>
            <w:shd w:val="clear" w:color="auto" w:fill="auto"/>
            <w:tcBorders>
              <w:top w:val="single" w:color="auto" w:sz="8" w:space="0"/>
              <w:left w:val="single" w:color="auto" w:sz="8" w:space="0"/>
              <w:bottom w:val="none" w:color="000000" w:sz="4" w:space="0"/>
              <w:right w:val="single" w:color="auto" w:sz="8" w:space="0"/>
            </w:tcBorders>
            <w:tcW w:w="375"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828"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szCs w:val="21"/>
              </w:rPr>
              <w:t xml:space="preserve">模块名称</w:t>
            </w:r>
            <w:r/>
          </w:p>
        </w:tc>
        <w:tc>
          <w:tcPr>
            <w:shd w:val="clear" w:color="auto" w:fill="auto"/>
            <w:tcBorders>
              <w:top w:val="single" w:color="auto" w:sz="8" w:space="0"/>
              <w:left w:val="none" w:color="000000" w:sz="4" w:space="0"/>
              <w:bottom w:val="none" w:color="000000" w:sz="4" w:space="0"/>
              <w:right w:val="single" w:color="auto" w:sz="8" w:space="0"/>
            </w:tcBorders>
            <w:tcW w:w="1196"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szCs w:val="21"/>
              </w:rPr>
              <w:t xml:space="preserve">功能名称</w:t>
            </w:r>
            <w:r/>
          </w:p>
        </w:tc>
        <w:tc>
          <w:tcPr>
            <w:gridSpan w:val="2"/>
            <w:shd w:val="clear" w:color="auto" w:fill="auto"/>
            <w:tcBorders>
              <w:top w:val="single" w:color="auto" w:sz="8" w:space="0"/>
              <w:left w:val="none" w:color="000000" w:sz="4" w:space="0"/>
              <w:bottom w:val="none" w:color="000000" w:sz="4" w:space="0"/>
              <w:right w:val="single" w:color="auto" w:sz="8" w:space="0"/>
            </w:tcBorders>
            <w:tcW w:w="2598"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szCs w:val="21"/>
              </w:rPr>
              <w:t xml:space="preserve">功能描述</w:t>
            </w:r>
            <w:r/>
          </w:p>
        </w:tc>
      </w:tr>
      <w:tr>
        <w:trPr>
          <w:trHeight w:val="290"/>
        </w:trPr>
        <w:tc>
          <w:tcPr>
            <w:gridSpan w:val="5"/>
            <w:shd w:val="clear" w:color="auto" w:fill="auto"/>
            <w:tcBorders>
              <w:top w:val="single" w:color="auto" w:sz="8" w:space="0"/>
              <w:left w:val="single" w:color="auto" w:sz="8" w:space="0"/>
              <w:bottom w:val="single" w:color="auto" w:sz="8" w:space="0"/>
              <w:right w:val="single" w:color="000000" w:sz="8" w:space="0"/>
            </w:tcBorders>
            <w:tcW w:w="5000" w:type="pct"/>
            <w:vAlign w:val="center"/>
            <w:textDirection w:val="lrTb"/>
            <w:noWrap/>
          </w:tcPr>
          <w:p>
            <w:pPr>
              <w:widowControl/>
              <w:rPr>
                <w:rFonts w:ascii="宋体" w:hAnsi="宋体" w:cs="宋体"/>
                <w:b/>
                <w:bCs/>
                <w:color w:val="000000"/>
              </w:rPr>
            </w:pPr>
            <w:r>
              <w:rPr>
                <w:rFonts w:hint="eastAsia" w:ascii="宋体" w:hAnsi="宋体" w:cs="宋体"/>
                <w:b/>
                <w:bCs/>
                <w:color w:val="000000"/>
                <w:szCs w:val="21"/>
              </w:rPr>
              <w:t xml:space="preserve">一、中转站及车辆信息管理模块</w:t>
            </w:r>
            <w:r/>
          </w:p>
        </w:tc>
      </w:tr>
      <w:tr>
        <w:trPr>
          <w:trHeight w:val="570"/>
        </w:trPr>
        <w:tc>
          <w:tcPr>
            <w:shd w:val="clear" w:color="auto" w:fill="auto"/>
            <w:tcBorders>
              <w:top w:val="none" w:color="000000" w:sz="4" w:space="0"/>
              <w:left w:val="single" w:color="auto" w:sz="8" w:space="0"/>
              <w:bottom w:val="single" w:color="auto" w:sz="8" w:space="0"/>
              <w:right w:val="none" w:color="000000" w:sz="4" w:space="0"/>
            </w:tcBorders>
            <w:tcW w:w="375" w:type="pct"/>
            <w:vAlign w:val="center"/>
            <w:textDirection w:val="lrTb"/>
            <w:noWrap/>
          </w:tcPr>
          <w:p>
            <w:pPr>
              <w:jc w:val="center"/>
              <w:widowControl/>
              <w:rPr>
                <w:rFonts w:ascii="宋体" w:hAnsi="宋体" w:cs="宋体"/>
                <w:color w:val="000000"/>
              </w:rPr>
            </w:pPr>
            <w:r>
              <w:rPr>
                <w:rFonts w:hint="eastAsia" w:ascii="宋体" w:hAnsi="宋体" w:cs="宋体"/>
                <w:color w:val="000000"/>
                <w:szCs w:val="21"/>
                <w:lang w:bidi="ar"/>
              </w:rPr>
              <w:t xml:space="preserve">1</w:t>
            </w:r>
            <w:r/>
          </w:p>
        </w:tc>
        <w:tc>
          <w:tcPr>
            <w:shd w:val="clear" w:color="auto" w:fill="auto"/>
            <w:tcBorders>
              <w:top w:val="none" w:color="000000" w:sz="4" w:space="0"/>
              <w:left w:val="single" w:color="auto" w:sz="8" w:space="0"/>
              <w:bottom w:val="single" w:color="auto" w:sz="8" w:space="0"/>
              <w:right w:val="single" w:color="auto" w:sz="8" w:space="0"/>
            </w:tcBorders>
            <w:tcW w:w="828" w:type="pct"/>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系统框架</w:t>
            </w:r>
            <w:r/>
          </w:p>
        </w:tc>
        <w:tc>
          <w:tcPr>
            <w:shd w:val="clear" w:color="auto" w:fill="auto"/>
            <w:tcBorders>
              <w:top w:val="none" w:color="000000" w:sz="4" w:space="0"/>
              <w:left w:val="none" w:color="000000" w:sz="4" w:space="0"/>
              <w:bottom w:val="single" w:color="auto" w:sz="8" w:space="0"/>
              <w:right w:val="single" w:color="auto" w:sz="8" w:space="0"/>
            </w:tcBorders>
            <w:tcW w:w="1196" w:type="pct"/>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框架搭建</w:t>
            </w:r>
            <w:r/>
          </w:p>
        </w:tc>
        <w:tc>
          <w:tcPr>
            <w:gridSpan w:val="2"/>
            <w:shd w:val="clear" w:color="auto" w:fill="auto"/>
            <w:tcBorders>
              <w:top w:val="none" w:color="000000" w:sz="4" w:space="0"/>
              <w:left w:val="none" w:color="000000" w:sz="4" w:space="0"/>
              <w:bottom w:val="single" w:color="auto" w:sz="8" w:space="0"/>
              <w:right w:val="single" w:color="auto" w:sz="8" w:space="0"/>
            </w:tcBorders>
            <w:tcW w:w="2598" w:type="pct"/>
            <w:vAlign w:val="center"/>
            <w:textDirection w:val="lrTb"/>
            <w:noWrap w:val="false"/>
          </w:tcPr>
          <w:p>
            <w:pPr>
              <w:widowControl/>
              <w:rPr>
                <w:rFonts w:ascii="宋体" w:hAnsi="宋体" w:cs="宋体"/>
                <w:color w:val="000000"/>
              </w:rPr>
            </w:pPr>
            <w:r>
              <w:rPr>
                <w:rFonts w:hint="eastAsia" w:ascii="宋体" w:hAnsi="宋体" w:cs="宋体"/>
                <w:color w:val="000000"/>
                <w:szCs w:val="21"/>
                <w:lang w:bidi="ar"/>
              </w:rPr>
              <w:t xml:space="preserve">系统框架搭建+单点登录对接</w:t>
            </w:r>
            <w:r/>
          </w:p>
        </w:tc>
      </w:tr>
      <w:tr>
        <w:trPr>
          <w:trHeight w:val="290"/>
        </w:trPr>
        <w:tc>
          <w:tcPr>
            <w:shd w:val="clear" w:color="auto" w:fill="auto"/>
            <w:tcBorders>
              <w:top w:val="none" w:color="000000" w:sz="4" w:space="0"/>
              <w:left w:val="single" w:color="auto" w:sz="8" w:space="0"/>
              <w:bottom w:val="single" w:color="auto" w:sz="8" w:space="0"/>
              <w:right w:val="none" w:color="000000" w:sz="4" w:space="0"/>
            </w:tcBorders>
            <w:tcW w:w="375" w:type="pct"/>
            <w:vAlign w:val="center"/>
            <w:textDirection w:val="lrTb"/>
            <w:noWrap/>
          </w:tcPr>
          <w:p>
            <w:pPr>
              <w:jc w:val="center"/>
              <w:widowControl/>
              <w:rPr>
                <w:rFonts w:ascii="宋体" w:hAnsi="宋体" w:cs="宋体"/>
                <w:color w:val="000000"/>
              </w:rPr>
            </w:pPr>
            <w:r>
              <w:rPr>
                <w:rFonts w:hint="eastAsia" w:ascii="宋体" w:hAnsi="宋体" w:cs="宋体"/>
                <w:color w:val="000000"/>
                <w:szCs w:val="21"/>
                <w:lang w:bidi="ar"/>
              </w:rPr>
              <w:t xml:space="preserve">2</w:t>
            </w:r>
            <w:r/>
          </w:p>
        </w:tc>
        <w:tc>
          <w:tcPr>
            <w:shd w:val="clear" w:color="auto" w:fill="auto"/>
            <w:tcBorders>
              <w:top w:val="none" w:color="000000" w:sz="4" w:space="0"/>
              <w:left w:val="single" w:color="auto" w:sz="8" w:space="0"/>
              <w:bottom w:val="single" w:color="000000" w:sz="8" w:space="0"/>
              <w:right w:val="single" w:color="auto" w:sz="8" w:space="0"/>
            </w:tcBorders>
            <w:tcW w:w="828" w:type="pct"/>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环卫车辆管理</w:t>
            </w:r>
            <w:r/>
          </w:p>
        </w:tc>
        <w:tc>
          <w:tcPr>
            <w:shd w:val="clear" w:color="auto" w:fill="auto"/>
            <w:tcBorders>
              <w:top w:val="none" w:color="000000" w:sz="4" w:space="0"/>
              <w:left w:val="single" w:color="auto" w:sz="8" w:space="0"/>
              <w:bottom w:val="single" w:color="000000" w:sz="8" w:space="0"/>
              <w:right w:val="single" w:color="auto" w:sz="8" w:space="0"/>
            </w:tcBorders>
            <w:tcW w:w="1196" w:type="pct"/>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车辆信息管理</w:t>
            </w:r>
            <w:r/>
          </w:p>
        </w:tc>
        <w:tc>
          <w:tcPr>
            <w:gridSpan w:val="2"/>
            <w:shd w:val="clear" w:color="auto" w:fill="auto"/>
            <w:tcBorders>
              <w:top w:val="none" w:color="000000" w:sz="4" w:space="0"/>
              <w:left w:val="none" w:color="000000" w:sz="4" w:space="0"/>
              <w:bottom w:val="single" w:color="auto" w:sz="8" w:space="0"/>
              <w:right w:val="single" w:color="auto" w:sz="8" w:space="0"/>
            </w:tcBorders>
            <w:tcW w:w="2598" w:type="pct"/>
            <w:vAlign w:val="center"/>
            <w:textDirection w:val="lrTb"/>
            <w:noWrap/>
          </w:tcPr>
          <w:p>
            <w:pPr>
              <w:widowControl/>
              <w:rPr>
                <w:rFonts w:ascii="宋体" w:hAnsi="宋体" w:cs="宋体"/>
                <w:color w:val="000000"/>
              </w:rPr>
            </w:pPr>
            <w:r>
              <w:rPr>
                <w:rFonts w:hint="eastAsia" w:ascii="宋体" w:hAnsi="宋体" w:cs="宋体"/>
                <w:color w:val="000000"/>
                <w:szCs w:val="21"/>
                <w:lang w:bidi="ar"/>
              </w:rPr>
              <w:t xml:space="preserve">车辆信息台</w:t>
            </w:r>
            <w:r>
              <w:rPr>
                <w:rFonts w:hint="eastAsia" w:ascii="宋体" w:hAnsi="宋体" w:cs="宋体"/>
                <w:color w:val="000000"/>
                <w:szCs w:val="21"/>
                <w:lang w:bidi="ar"/>
              </w:rPr>
              <w:t xml:space="preserve">账管理</w:t>
            </w:r>
            <w:r/>
          </w:p>
        </w:tc>
      </w:tr>
      <w:tr>
        <w:trPr>
          <w:trHeight w:val="290"/>
        </w:trPr>
        <w:tc>
          <w:tcPr>
            <w:shd w:val="clear" w:color="auto" w:fill="auto"/>
            <w:tcBorders>
              <w:top w:val="none" w:color="000000" w:sz="4" w:space="0"/>
              <w:left w:val="single" w:color="auto" w:sz="8" w:space="0"/>
              <w:bottom w:val="single" w:color="auto" w:sz="8" w:space="0"/>
              <w:right w:val="none" w:color="000000" w:sz="4" w:space="0"/>
            </w:tcBorders>
            <w:tcW w:w="375" w:type="pct"/>
            <w:vAlign w:val="center"/>
            <w:textDirection w:val="lrTb"/>
            <w:noWrap/>
          </w:tcPr>
          <w:p>
            <w:pPr>
              <w:jc w:val="center"/>
              <w:widowControl/>
              <w:rPr>
                <w:rFonts w:ascii="宋体" w:hAnsi="宋体" w:cs="宋体"/>
                <w:color w:val="000000"/>
              </w:rPr>
            </w:pPr>
            <w:r>
              <w:rPr>
                <w:rFonts w:hint="eastAsia" w:ascii="宋体" w:hAnsi="宋体" w:cs="宋体"/>
                <w:color w:val="000000"/>
                <w:szCs w:val="21"/>
              </w:rPr>
              <w:t xml:space="preserve">3</w:t>
            </w:r>
            <w:r/>
          </w:p>
        </w:tc>
        <w:tc>
          <w:tcPr>
            <w:tcBorders>
              <w:top w:val="none" w:color="000000" w:sz="4" w:space="0"/>
              <w:left w:val="single" w:color="auto" w:sz="8" w:space="0"/>
              <w:bottom w:val="single" w:color="000000" w:sz="8" w:space="0"/>
              <w:right w:val="single" w:color="auto" w:sz="8" w:space="0"/>
            </w:tcBorders>
            <w:tcW w:w="828"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none" w:color="000000" w:sz="4" w:space="0"/>
              <w:left w:val="single" w:color="auto" w:sz="8" w:space="0"/>
              <w:bottom w:val="single" w:color="000000" w:sz="8" w:space="0"/>
              <w:right w:val="single" w:color="auto" w:sz="8" w:space="0"/>
            </w:tcBorders>
            <w:tcW w:w="1196"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gridSpan w:val="2"/>
            <w:shd w:val="clear" w:color="auto" w:fill="auto"/>
            <w:tcBorders>
              <w:top w:val="none" w:color="000000" w:sz="4" w:space="0"/>
              <w:left w:val="none" w:color="000000" w:sz="4" w:space="0"/>
              <w:bottom w:val="single" w:color="auto" w:sz="8" w:space="0"/>
              <w:right w:val="single" w:color="auto" w:sz="8" w:space="0"/>
            </w:tcBorders>
            <w:tcW w:w="2598" w:type="pct"/>
            <w:vAlign w:val="center"/>
            <w:textDirection w:val="lrTb"/>
            <w:noWrap/>
          </w:tcPr>
          <w:p>
            <w:pPr>
              <w:widowControl/>
              <w:rPr>
                <w:rFonts w:ascii="宋体" w:hAnsi="宋体" w:cs="宋体"/>
                <w:color w:val="000000"/>
              </w:rPr>
            </w:pPr>
            <w:r>
              <w:rPr>
                <w:rFonts w:hint="eastAsia" w:ascii="宋体" w:hAnsi="宋体" w:cs="宋体"/>
                <w:color w:val="000000"/>
                <w:szCs w:val="21"/>
                <w:lang w:bidi="ar"/>
              </w:rPr>
              <w:t xml:space="preserve">生成</w:t>
            </w:r>
            <w:r>
              <w:rPr>
                <w:rFonts w:hint="eastAsia" w:ascii="宋体" w:hAnsi="宋体" w:cs="宋体"/>
                <w:color w:val="000000"/>
                <w:szCs w:val="21"/>
                <w:lang w:bidi="ar"/>
              </w:rPr>
              <w:t xml:space="preserve">二维码</w:t>
            </w:r>
            <w:r/>
          </w:p>
        </w:tc>
      </w:tr>
      <w:tr>
        <w:trPr>
          <w:trHeight w:val="290"/>
        </w:trPr>
        <w:tc>
          <w:tcPr>
            <w:shd w:val="clear" w:color="auto" w:fill="auto"/>
            <w:tcBorders>
              <w:top w:val="none" w:color="000000" w:sz="4" w:space="0"/>
              <w:left w:val="single" w:color="auto" w:sz="8" w:space="0"/>
              <w:bottom w:val="single" w:color="auto" w:sz="8" w:space="0"/>
              <w:right w:val="none" w:color="000000" w:sz="4" w:space="0"/>
            </w:tcBorders>
            <w:tcW w:w="375" w:type="pct"/>
            <w:vAlign w:val="center"/>
            <w:textDirection w:val="lrTb"/>
            <w:noWrap/>
          </w:tcPr>
          <w:p>
            <w:pPr>
              <w:jc w:val="center"/>
              <w:widowControl/>
              <w:rPr>
                <w:rFonts w:ascii="宋体" w:hAnsi="宋体" w:cs="宋体"/>
                <w:color w:val="000000"/>
              </w:rPr>
            </w:pPr>
            <w:r>
              <w:rPr>
                <w:rFonts w:hint="eastAsia" w:ascii="宋体" w:hAnsi="宋体" w:cs="宋体"/>
                <w:color w:val="000000"/>
                <w:szCs w:val="21"/>
              </w:rPr>
              <w:t xml:space="preserve">4</w:t>
            </w:r>
            <w:r/>
          </w:p>
        </w:tc>
        <w:tc>
          <w:tcPr>
            <w:tcBorders>
              <w:top w:val="none" w:color="000000" w:sz="4" w:space="0"/>
              <w:left w:val="single" w:color="auto" w:sz="8" w:space="0"/>
              <w:bottom w:val="single" w:color="000000" w:sz="8" w:space="0"/>
              <w:right w:val="single" w:color="auto" w:sz="8" w:space="0"/>
            </w:tcBorders>
            <w:tcW w:w="828"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none" w:color="000000" w:sz="4" w:space="0"/>
              <w:left w:val="single" w:color="auto" w:sz="8" w:space="0"/>
              <w:bottom w:val="single" w:color="000000" w:sz="8" w:space="0"/>
              <w:right w:val="single" w:color="auto" w:sz="8" w:space="0"/>
            </w:tcBorders>
            <w:tcW w:w="1196"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gridSpan w:val="2"/>
            <w:shd w:val="clear" w:color="auto" w:fill="auto"/>
            <w:tcBorders>
              <w:top w:val="none" w:color="000000" w:sz="4" w:space="0"/>
              <w:left w:val="none" w:color="000000" w:sz="4" w:space="0"/>
              <w:bottom w:val="single" w:color="auto" w:sz="8" w:space="0"/>
              <w:right w:val="single" w:color="auto" w:sz="8" w:space="0"/>
            </w:tcBorders>
            <w:tcW w:w="2598" w:type="pct"/>
            <w:vAlign w:val="center"/>
            <w:textDirection w:val="lrTb"/>
            <w:noWrap/>
          </w:tcPr>
          <w:p>
            <w:pPr>
              <w:widowControl/>
              <w:rPr>
                <w:rFonts w:ascii="宋体" w:hAnsi="宋体" w:cs="宋体"/>
                <w:color w:val="000000"/>
              </w:rPr>
            </w:pPr>
            <w:r>
              <w:rPr>
                <w:rFonts w:hint="eastAsia" w:ascii="宋体" w:hAnsi="宋体" w:cs="宋体"/>
                <w:color w:val="000000"/>
                <w:szCs w:val="21"/>
                <w:lang w:bidi="ar"/>
              </w:rPr>
              <w:t xml:space="preserve">批量下载</w:t>
            </w:r>
            <w:r>
              <w:rPr>
                <w:rFonts w:hint="eastAsia" w:ascii="宋体" w:hAnsi="宋体" w:cs="宋体"/>
                <w:color w:val="000000"/>
                <w:szCs w:val="21"/>
                <w:lang w:bidi="ar"/>
              </w:rPr>
              <w:t xml:space="preserve">二维码</w:t>
            </w:r>
            <w:r/>
          </w:p>
        </w:tc>
      </w:tr>
      <w:tr>
        <w:trPr>
          <w:trHeight w:val="290"/>
        </w:trPr>
        <w:tc>
          <w:tcPr>
            <w:shd w:val="clear" w:color="auto" w:fill="auto"/>
            <w:tcBorders>
              <w:top w:val="none" w:color="000000" w:sz="4" w:space="0"/>
              <w:left w:val="single" w:color="auto" w:sz="8" w:space="0"/>
              <w:bottom w:val="single" w:color="auto" w:sz="8" w:space="0"/>
              <w:right w:val="none" w:color="000000" w:sz="4" w:space="0"/>
            </w:tcBorders>
            <w:tcW w:w="375" w:type="pct"/>
            <w:vAlign w:val="center"/>
            <w:textDirection w:val="lrTb"/>
            <w:noWrap/>
          </w:tcPr>
          <w:p>
            <w:pPr>
              <w:jc w:val="center"/>
              <w:widowControl/>
              <w:rPr>
                <w:rFonts w:ascii="宋体" w:hAnsi="宋体" w:cs="宋体"/>
                <w:color w:val="000000"/>
              </w:rPr>
            </w:pPr>
            <w:r>
              <w:rPr>
                <w:rFonts w:hint="eastAsia" w:ascii="宋体" w:hAnsi="宋体" w:cs="宋体"/>
                <w:color w:val="000000"/>
                <w:szCs w:val="21"/>
              </w:rPr>
              <w:t xml:space="preserve">5</w:t>
            </w:r>
            <w:r/>
          </w:p>
        </w:tc>
        <w:tc>
          <w:tcPr>
            <w:shd w:val="clear" w:color="auto" w:fill="auto"/>
            <w:tcBorders>
              <w:top w:val="none" w:color="000000" w:sz="4" w:space="0"/>
              <w:left w:val="single" w:color="auto" w:sz="8" w:space="0"/>
              <w:bottom w:val="single" w:color="000000" w:sz="8" w:space="0"/>
              <w:right w:val="single" w:color="auto" w:sz="8" w:space="0"/>
            </w:tcBorders>
            <w:tcW w:w="828" w:type="pct"/>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中转站管理</w:t>
            </w:r>
            <w:r/>
          </w:p>
        </w:tc>
        <w:tc>
          <w:tcPr>
            <w:shd w:val="clear" w:color="auto" w:fill="auto"/>
            <w:tcBorders>
              <w:top w:val="none" w:color="000000" w:sz="4" w:space="0"/>
              <w:left w:val="single" w:color="auto" w:sz="8" w:space="0"/>
              <w:bottom w:val="single" w:color="000000" w:sz="8" w:space="0"/>
              <w:right w:val="single" w:color="auto" w:sz="8" w:space="0"/>
            </w:tcBorders>
            <w:tcW w:w="1196" w:type="pct"/>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中转站信息管理</w:t>
            </w:r>
            <w:r/>
          </w:p>
        </w:tc>
        <w:tc>
          <w:tcPr>
            <w:gridSpan w:val="2"/>
            <w:shd w:val="clear" w:color="auto" w:fill="auto"/>
            <w:tcBorders>
              <w:top w:val="none" w:color="000000" w:sz="4" w:space="0"/>
              <w:left w:val="none" w:color="000000" w:sz="4" w:space="0"/>
              <w:bottom w:val="single" w:color="auto" w:sz="8" w:space="0"/>
              <w:right w:val="single" w:color="auto" w:sz="8" w:space="0"/>
            </w:tcBorders>
            <w:tcW w:w="2598" w:type="pct"/>
            <w:vAlign w:val="center"/>
            <w:textDirection w:val="lrTb"/>
            <w:noWrap/>
          </w:tcPr>
          <w:p>
            <w:pPr>
              <w:widowControl/>
              <w:rPr>
                <w:rFonts w:ascii="宋体" w:hAnsi="宋体" w:cs="宋体"/>
                <w:color w:val="000000"/>
              </w:rPr>
            </w:pPr>
            <w:r>
              <w:rPr>
                <w:rFonts w:hint="eastAsia" w:ascii="宋体" w:hAnsi="宋体" w:cs="宋体"/>
                <w:color w:val="000000"/>
                <w:szCs w:val="21"/>
                <w:lang w:bidi="ar"/>
              </w:rPr>
              <w:t xml:space="preserve">中转站信息台</w:t>
            </w:r>
            <w:r>
              <w:rPr>
                <w:rFonts w:hint="eastAsia" w:ascii="宋体" w:hAnsi="宋体" w:cs="宋体"/>
                <w:color w:val="000000"/>
                <w:szCs w:val="21"/>
                <w:lang w:bidi="ar"/>
              </w:rPr>
              <w:t xml:space="preserve">账管理</w:t>
            </w:r>
            <w:r/>
          </w:p>
        </w:tc>
      </w:tr>
      <w:tr>
        <w:trPr>
          <w:trHeight w:val="365"/>
        </w:trPr>
        <w:tc>
          <w:tcPr>
            <w:shd w:val="clear" w:color="auto" w:fill="auto"/>
            <w:tcBorders>
              <w:top w:val="none" w:color="000000" w:sz="4" w:space="0"/>
              <w:left w:val="single" w:color="auto" w:sz="8" w:space="0"/>
              <w:bottom w:val="single" w:color="auto" w:sz="8" w:space="0"/>
              <w:right w:val="none" w:color="000000" w:sz="4" w:space="0"/>
            </w:tcBorders>
            <w:tcW w:w="375" w:type="pct"/>
            <w:vAlign w:val="center"/>
            <w:textDirection w:val="lrTb"/>
            <w:noWrap/>
          </w:tcPr>
          <w:p>
            <w:pPr>
              <w:jc w:val="center"/>
              <w:widowControl/>
              <w:rPr>
                <w:rFonts w:ascii="宋体" w:hAnsi="宋体" w:cs="宋体"/>
                <w:color w:val="000000"/>
              </w:rPr>
            </w:pPr>
            <w:r>
              <w:rPr>
                <w:rFonts w:hint="eastAsia" w:ascii="宋体" w:hAnsi="宋体" w:cs="宋体"/>
                <w:color w:val="000000"/>
                <w:szCs w:val="21"/>
              </w:rPr>
              <w:t xml:space="preserve">6</w:t>
            </w:r>
            <w:r/>
          </w:p>
        </w:tc>
        <w:tc>
          <w:tcPr>
            <w:tcBorders>
              <w:top w:val="none" w:color="000000" w:sz="4" w:space="0"/>
              <w:left w:val="single" w:color="auto" w:sz="8" w:space="0"/>
              <w:bottom w:val="single" w:color="000000" w:sz="8" w:space="0"/>
              <w:right w:val="single" w:color="auto" w:sz="8" w:space="0"/>
            </w:tcBorders>
            <w:tcW w:w="828"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none" w:color="000000" w:sz="4" w:space="0"/>
              <w:left w:val="single" w:color="auto" w:sz="8" w:space="0"/>
              <w:bottom w:val="single" w:color="000000" w:sz="8" w:space="0"/>
              <w:right w:val="single" w:color="auto" w:sz="8" w:space="0"/>
            </w:tcBorders>
            <w:tcW w:w="1196"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gridSpan w:val="2"/>
            <w:shd w:val="clear" w:color="auto" w:fill="auto"/>
            <w:tcBorders>
              <w:top w:val="none" w:color="000000" w:sz="4" w:space="0"/>
              <w:left w:val="none" w:color="000000" w:sz="4" w:space="0"/>
              <w:bottom w:val="single" w:color="auto" w:sz="8" w:space="0"/>
              <w:right w:val="single" w:color="auto" w:sz="8" w:space="0"/>
            </w:tcBorders>
            <w:tcW w:w="2598" w:type="pct"/>
            <w:vAlign w:val="center"/>
            <w:textDirection w:val="lrTb"/>
            <w:noWrap/>
          </w:tcPr>
          <w:p>
            <w:pPr>
              <w:widowControl/>
              <w:rPr>
                <w:rFonts w:ascii="宋体" w:hAnsi="宋体" w:cs="宋体"/>
                <w:color w:val="000000"/>
              </w:rPr>
            </w:pPr>
            <w:r>
              <w:rPr>
                <w:rFonts w:hint="eastAsia" w:ascii="宋体" w:hAnsi="宋体" w:cs="宋体"/>
                <w:color w:val="000000"/>
                <w:szCs w:val="21"/>
                <w:lang w:bidi="ar"/>
              </w:rPr>
              <w:t xml:space="preserve">中转站通行车辆阀值设定</w:t>
            </w:r>
            <w:r/>
          </w:p>
        </w:tc>
      </w:tr>
      <w:tr>
        <w:trPr>
          <w:trHeight w:val="290"/>
        </w:trPr>
        <w:tc>
          <w:tcPr>
            <w:shd w:val="clear" w:color="auto" w:fill="auto"/>
            <w:tcBorders>
              <w:top w:val="none" w:color="000000" w:sz="4" w:space="0"/>
              <w:left w:val="single" w:color="auto" w:sz="8" w:space="0"/>
              <w:bottom w:val="single" w:color="auto" w:sz="8" w:space="0"/>
              <w:right w:val="none" w:color="000000" w:sz="4" w:space="0"/>
            </w:tcBorders>
            <w:tcW w:w="375" w:type="pct"/>
            <w:vAlign w:val="center"/>
            <w:textDirection w:val="lrTb"/>
            <w:noWrap/>
          </w:tcPr>
          <w:p>
            <w:pPr>
              <w:jc w:val="center"/>
              <w:widowControl/>
              <w:rPr>
                <w:rFonts w:ascii="宋体" w:hAnsi="宋体" w:cs="宋体"/>
                <w:color w:val="000000"/>
              </w:rPr>
            </w:pPr>
            <w:r>
              <w:rPr>
                <w:rFonts w:hint="eastAsia" w:ascii="宋体" w:hAnsi="宋体" w:cs="宋体"/>
                <w:color w:val="000000"/>
                <w:szCs w:val="21"/>
              </w:rPr>
              <w:t xml:space="preserve">7</w:t>
            </w:r>
            <w:r/>
          </w:p>
        </w:tc>
        <w:tc>
          <w:tcPr>
            <w:tcBorders>
              <w:top w:val="none" w:color="000000" w:sz="4" w:space="0"/>
              <w:left w:val="single" w:color="auto" w:sz="8" w:space="0"/>
              <w:bottom w:val="single" w:color="000000" w:sz="8" w:space="0"/>
              <w:right w:val="single" w:color="auto" w:sz="8" w:space="0"/>
            </w:tcBorders>
            <w:tcW w:w="828"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none" w:color="000000" w:sz="4" w:space="0"/>
              <w:left w:val="single" w:color="auto" w:sz="8" w:space="0"/>
              <w:bottom w:val="single" w:color="000000" w:sz="8" w:space="0"/>
              <w:right w:val="single" w:color="auto" w:sz="8" w:space="0"/>
            </w:tcBorders>
            <w:tcW w:w="1196"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gridSpan w:val="2"/>
            <w:shd w:val="clear" w:color="auto" w:fill="auto"/>
            <w:tcBorders>
              <w:top w:val="none" w:color="000000" w:sz="4" w:space="0"/>
              <w:left w:val="none" w:color="000000" w:sz="4" w:space="0"/>
              <w:bottom w:val="single" w:color="auto" w:sz="8" w:space="0"/>
              <w:right w:val="single" w:color="auto" w:sz="8" w:space="0"/>
            </w:tcBorders>
            <w:tcW w:w="2598" w:type="pct"/>
            <w:vAlign w:val="center"/>
            <w:textDirection w:val="lrTb"/>
            <w:noWrap/>
          </w:tcPr>
          <w:p>
            <w:pPr>
              <w:widowControl/>
              <w:rPr>
                <w:rFonts w:ascii="宋体" w:hAnsi="宋体" w:cs="宋体"/>
                <w:color w:val="000000"/>
              </w:rPr>
            </w:pPr>
            <w:r>
              <w:rPr>
                <w:rFonts w:hint="eastAsia" w:ascii="宋体" w:hAnsi="宋体" w:cs="宋体"/>
                <w:color w:val="000000"/>
                <w:szCs w:val="21"/>
                <w:lang w:bidi="ar"/>
              </w:rPr>
              <w:t xml:space="preserve">中转站关联环卫车辆</w:t>
            </w:r>
            <w:r/>
          </w:p>
        </w:tc>
      </w:tr>
      <w:tr>
        <w:trPr>
          <w:trHeight w:val="850"/>
        </w:trPr>
        <w:tc>
          <w:tcPr>
            <w:shd w:val="clear" w:color="auto" w:fill="auto"/>
            <w:tcBorders>
              <w:top w:val="none" w:color="000000" w:sz="4" w:space="0"/>
              <w:left w:val="single" w:color="auto" w:sz="8" w:space="0"/>
              <w:bottom w:val="single" w:color="auto" w:sz="8" w:space="0"/>
              <w:right w:val="none" w:color="000000" w:sz="4" w:space="0"/>
            </w:tcBorders>
            <w:tcW w:w="375" w:type="pct"/>
            <w:vAlign w:val="center"/>
            <w:textDirection w:val="lrTb"/>
            <w:noWrap/>
          </w:tcPr>
          <w:p>
            <w:pPr>
              <w:jc w:val="center"/>
              <w:widowControl/>
              <w:rPr>
                <w:rFonts w:ascii="宋体" w:hAnsi="宋体" w:cs="宋体"/>
                <w:color w:val="000000"/>
              </w:rPr>
            </w:pPr>
            <w:r>
              <w:rPr>
                <w:rFonts w:hint="eastAsia" w:ascii="宋体" w:hAnsi="宋体" w:cs="宋体"/>
                <w:color w:val="000000"/>
                <w:szCs w:val="21"/>
              </w:rPr>
              <w:t xml:space="preserve">8</w:t>
            </w:r>
            <w:r/>
          </w:p>
        </w:tc>
        <w:tc>
          <w:tcPr>
            <w:tcBorders>
              <w:top w:val="none" w:color="000000" w:sz="4" w:space="0"/>
              <w:left w:val="single" w:color="auto" w:sz="8" w:space="0"/>
              <w:bottom w:val="single" w:color="000000" w:sz="8" w:space="0"/>
              <w:right w:val="single" w:color="auto" w:sz="8" w:space="0"/>
            </w:tcBorders>
            <w:tcW w:w="828"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none" w:color="000000" w:sz="4" w:space="0"/>
              <w:left w:val="none" w:color="000000" w:sz="4" w:space="0"/>
              <w:bottom w:val="single" w:color="auto" w:sz="8" w:space="0"/>
              <w:right w:val="single" w:color="auto" w:sz="8" w:space="0"/>
            </w:tcBorders>
            <w:tcW w:w="1196" w:type="pct"/>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进站信息</w:t>
            </w:r>
            <w:r/>
          </w:p>
        </w:tc>
        <w:tc>
          <w:tcPr>
            <w:gridSpan w:val="2"/>
            <w:shd w:val="clear" w:color="auto" w:fill="auto"/>
            <w:tcBorders>
              <w:top w:val="none" w:color="000000" w:sz="4" w:space="0"/>
              <w:left w:val="none" w:color="000000" w:sz="4" w:space="0"/>
              <w:bottom w:val="single" w:color="auto" w:sz="8" w:space="0"/>
              <w:right w:val="single" w:color="auto" w:sz="8" w:space="0"/>
            </w:tcBorders>
            <w:tcW w:w="2598" w:type="pct"/>
            <w:vAlign w:val="center"/>
            <w:textDirection w:val="lrTb"/>
            <w:noWrap w:val="false"/>
          </w:tcPr>
          <w:p>
            <w:pPr>
              <w:widowControl/>
              <w:rPr>
                <w:rFonts w:ascii="宋体" w:hAnsi="宋体" w:cs="宋体"/>
                <w:color w:val="000000"/>
              </w:rPr>
            </w:pPr>
            <w:r>
              <w:rPr>
                <w:rFonts w:hint="eastAsia" w:ascii="宋体" w:hAnsi="宋体" w:cs="宋体"/>
                <w:color w:val="000000"/>
                <w:szCs w:val="21"/>
                <w:lang w:bidi="ar"/>
              </w:rPr>
              <w:t xml:space="preserve">实时展示进入各个中转站的车辆信息和进站时间</w:t>
            </w:r>
            <w:r/>
          </w:p>
        </w:tc>
      </w:tr>
      <w:tr>
        <w:trPr>
          <w:trHeight w:val="570"/>
        </w:trPr>
        <w:tc>
          <w:tcPr>
            <w:shd w:val="clear" w:color="auto" w:fill="auto"/>
            <w:tcBorders>
              <w:top w:val="none" w:color="000000" w:sz="4" w:space="0"/>
              <w:left w:val="single" w:color="auto" w:sz="8" w:space="0"/>
              <w:bottom w:val="single" w:color="auto" w:sz="8" w:space="0"/>
              <w:right w:val="none" w:color="000000" w:sz="4" w:space="0"/>
            </w:tcBorders>
            <w:tcW w:w="375" w:type="pct"/>
            <w:vAlign w:val="center"/>
            <w:textDirection w:val="lrTb"/>
            <w:noWrap/>
          </w:tcPr>
          <w:p>
            <w:pPr>
              <w:jc w:val="center"/>
              <w:widowControl/>
              <w:rPr>
                <w:rFonts w:ascii="宋体" w:hAnsi="宋体" w:cs="宋体"/>
                <w:color w:val="000000"/>
              </w:rPr>
            </w:pPr>
            <w:r>
              <w:rPr>
                <w:rFonts w:hint="eastAsia" w:ascii="宋体" w:hAnsi="宋体" w:cs="宋体"/>
                <w:color w:val="000000"/>
                <w:szCs w:val="21"/>
              </w:rPr>
              <w:t xml:space="preserve">9</w:t>
            </w:r>
            <w:r/>
          </w:p>
        </w:tc>
        <w:tc>
          <w:tcPr>
            <w:tcBorders>
              <w:top w:val="none" w:color="000000" w:sz="4" w:space="0"/>
              <w:left w:val="single" w:color="auto" w:sz="8" w:space="0"/>
              <w:bottom w:val="single" w:color="000000" w:sz="8" w:space="0"/>
              <w:right w:val="single" w:color="auto" w:sz="8" w:space="0"/>
            </w:tcBorders>
            <w:tcW w:w="828"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none" w:color="000000" w:sz="4" w:space="0"/>
              <w:left w:val="single" w:color="auto" w:sz="8" w:space="0"/>
              <w:bottom w:val="single" w:color="000000" w:sz="8" w:space="0"/>
              <w:right w:val="single" w:color="auto" w:sz="8" w:space="0"/>
            </w:tcBorders>
            <w:tcW w:w="1196" w:type="pct"/>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统计分析</w:t>
            </w:r>
            <w:r/>
          </w:p>
        </w:tc>
        <w:tc>
          <w:tcPr>
            <w:gridSpan w:val="2"/>
            <w:shd w:val="clear" w:color="auto" w:fill="auto"/>
            <w:tcBorders>
              <w:top w:val="none" w:color="000000" w:sz="4" w:space="0"/>
              <w:left w:val="none" w:color="000000" w:sz="4" w:space="0"/>
              <w:bottom w:val="single" w:color="auto" w:sz="8" w:space="0"/>
              <w:right w:val="single" w:color="auto" w:sz="8" w:space="0"/>
            </w:tcBorders>
            <w:tcW w:w="2598" w:type="pct"/>
            <w:vAlign w:val="center"/>
            <w:textDirection w:val="lrTb"/>
            <w:noWrap w:val="false"/>
          </w:tcPr>
          <w:p>
            <w:pPr>
              <w:widowControl/>
              <w:rPr>
                <w:rFonts w:ascii="宋体" w:hAnsi="宋体" w:cs="宋体"/>
                <w:color w:val="000000"/>
              </w:rPr>
            </w:pPr>
            <w:r>
              <w:rPr>
                <w:rFonts w:hint="eastAsia" w:ascii="宋体" w:hAnsi="宋体" w:cs="宋体"/>
                <w:color w:val="000000"/>
                <w:szCs w:val="21"/>
                <w:lang w:bidi="ar"/>
              </w:rPr>
              <w:t xml:space="preserve">按照时间，展示中转站进站车数量排名</w:t>
            </w:r>
            <w:r/>
          </w:p>
        </w:tc>
      </w:tr>
      <w:tr>
        <w:trPr>
          <w:trHeight w:val="850"/>
        </w:trPr>
        <w:tc>
          <w:tcPr>
            <w:shd w:val="clear" w:color="auto" w:fill="auto"/>
            <w:tcBorders>
              <w:top w:val="none" w:color="000000" w:sz="4" w:space="0"/>
              <w:left w:val="single" w:color="auto" w:sz="8" w:space="0"/>
              <w:bottom w:val="single" w:color="auto" w:sz="8" w:space="0"/>
              <w:right w:val="none" w:color="000000" w:sz="4" w:space="0"/>
            </w:tcBorders>
            <w:tcW w:w="375" w:type="pct"/>
            <w:vAlign w:val="center"/>
            <w:textDirection w:val="lrTb"/>
            <w:noWrap/>
          </w:tcPr>
          <w:p>
            <w:pPr>
              <w:jc w:val="center"/>
              <w:widowControl/>
              <w:rPr>
                <w:rFonts w:ascii="宋体" w:hAnsi="宋体" w:cs="宋体"/>
                <w:color w:val="000000"/>
              </w:rPr>
            </w:pPr>
            <w:r>
              <w:rPr>
                <w:rFonts w:hint="eastAsia" w:ascii="宋体" w:hAnsi="宋体" w:cs="宋体"/>
                <w:color w:val="000000"/>
                <w:szCs w:val="21"/>
                <w:lang w:bidi="ar"/>
              </w:rPr>
              <w:t xml:space="preserve">10</w:t>
            </w:r>
            <w:r/>
          </w:p>
        </w:tc>
        <w:tc>
          <w:tcPr>
            <w:tcBorders>
              <w:top w:val="none" w:color="000000" w:sz="4" w:space="0"/>
              <w:left w:val="single" w:color="auto" w:sz="8" w:space="0"/>
              <w:bottom w:val="single" w:color="000000" w:sz="8" w:space="0"/>
              <w:right w:val="single" w:color="auto" w:sz="8" w:space="0"/>
            </w:tcBorders>
            <w:tcW w:w="828"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none" w:color="000000" w:sz="4" w:space="0"/>
              <w:left w:val="single" w:color="auto" w:sz="8" w:space="0"/>
              <w:bottom w:val="single" w:color="000000" w:sz="8" w:space="0"/>
              <w:right w:val="single" w:color="auto" w:sz="8" w:space="0"/>
            </w:tcBorders>
            <w:tcW w:w="1196"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gridSpan w:val="2"/>
            <w:shd w:val="clear" w:color="auto" w:fill="auto"/>
            <w:tcBorders>
              <w:top w:val="none" w:color="000000" w:sz="4" w:space="0"/>
              <w:left w:val="none" w:color="000000" w:sz="4" w:space="0"/>
              <w:bottom w:val="single" w:color="auto" w:sz="8" w:space="0"/>
              <w:right w:val="single" w:color="auto" w:sz="8" w:space="0"/>
            </w:tcBorders>
            <w:tcW w:w="2598" w:type="pct"/>
            <w:vAlign w:val="center"/>
            <w:textDirection w:val="lrTb"/>
            <w:noWrap w:val="false"/>
          </w:tcPr>
          <w:p>
            <w:pPr>
              <w:widowControl/>
              <w:rPr>
                <w:rFonts w:ascii="宋体" w:hAnsi="宋体" w:cs="宋体"/>
                <w:color w:val="000000"/>
              </w:rPr>
            </w:pPr>
            <w:r>
              <w:rPr>
                <w:rFonts w:hint="eastAsia" w:ascii="宋体" w:hAnsi="宋体" w:cs="宋体"/>
                <w:color w:val="000000"/>
                <w:szCs w:val="21"/>
                <w:lang w:bidi="ar"/>
              </w:rPr>
              <w:t xml:space="preserve">按照时间，统计各个中转站正常进站数量、异常进站数量</w:t>
            </w:r>
            <w:r/>
          </w:p>
        </w:tc>
      </w:tr>
      <w:tr>
        <w:trPr>
          <w:trHeight w:val="850"/>
        </w:trPr>
        <w:tc>
          <w:tcPr>
            <w:shd w:val="clear" w:color="auto" w:fill="auto"/>
            <w:tcBorders>
              <w:top w:val="none" w:color="000000" w:sz="4" w:space="0"/>
              <w:left w:val="single" w:color="auto" w:sz="8" w:space="0"/>
              <w:bottom w:val="single" w:color="auto" w:sz="8" w:space="0"/>
              <w:right w:val="none" w:color="000000" w:sz="4" w:space="0"/>
            </w:tcBorders>
            <w:tcW w:w="375" w:type="pct"/>
            <w:vAlign w:val="center"/>
            <w:textDirection w:val="lrTb"/>
            <w:noWrap/>
          </w:tcPr>
          <w:p>
            <w:pPr>
              <w:jc w:val="center"/>
              <w:widowControl/>
              <w:rPr>
                <w:rFonts w:ascii="宋体" w:hAnsi="宋体" w:cs="宋体"/>
                <w:color w:val="000000"/>
              </w:rPr>
            </w:pPr>
            <w:r>
              <w:rPr>
                <w:rFonts w:hint="eastAsia" w:ascii="宋体" w:hAnsi="宋体" w:cs="宋体"/>
                <w:color w:val="000000"/>
                <w:szCs w:val="21"/>
                <w:lang w:bidi="ar"/>
              </w:rPr>
              <w:t xml:space="preserve">11</w:t>
            </w:r>
            <w:r/>
          </w:p>
        </w:tc>
        <w:tc>
          <w:tcPr>
            <w:shd w:val="clear" w:color="auto" w:fill="auto"/>
            <w:tcBorders>
              <w:top w:val="none" w:color="000000" w:sz="4" w:space="0"/>
              <w:left w:val="single" w:color="auto" w:sz="8" w:space="0"/>
              <w:bottom w:val="single" w:color="000000" w:sz="8" w:space="0"/>
              <w:right w:val="single" w:color="auto" w:sz="8" w:space="0"/>
            </w:tcBorders>
            <w:tcW w:w="828" w:type="pct"/>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手机端</w:t>
            </w:r>
            <w:r/>
          </w:p>
        </w:tc>
        <w:tc>
          <w:tcPr>
            <w:shd w:val="clear" w:color="auto" w:fill="auto"/>
            <w:tcBorders>
              <w:top w:val="none" w:color="000000" w:sz="4" w:space="0"/>
              <w:left w:val="none" w:color="000000" w:sz="4" w:space="0"/>
              <w:bottom w:val="single" w:color="auto" w:sz="8" w:space="0"/>
              <w:right w:val="single" w:color="auto" w:sz="8" w:space="0"/>
            </w:tcBorders>
            <w:tcW w:w="1196" w:type="pct"/>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进站信息</w:t>
            </w:r>
            <w:r/>
          </w:p>
        </w:tc>
        <w:tc>
          <w:tcPr>
            <w:gridSpan w:val="2"/>
            <w:shd w:val="clear" w:color="auto" w:fill="auto"/>
            <w:tcBorders>
              <w:top w:val="none" w:color="000000" w:sz="4" w:space="0"/>
              <w:left w:val="none" w:color="000000" w:sz="4" w:space="0"/>
              <w:bottom w:val="single" w:color="auto" w:sz="8" w:space="0"/>
              <w:right w:val="single" w:color="auto" w:sz="8" w:space="0"/>
            </w:tcBorders>
            <w:tcW w:w="2598" w:type="pct"/>
            <w:vAlign w:val="center"/>
            <w:textDirection w:val="lrTb"/>
            <w:noWrap w:val="false"/>
          </w:tcPr>
          <w:p>
            <w:pPr>
              <w:widowControl/>
              <w:rPr>
                <w:rFonts w:ascii="宋体" w:hAnsi="宋体" w:cs="宋体"/>
                <w:color w:val="000000"/>
              </w:rPr>
            </w:pPr>
            <w:r>
              <w:rPr>
                <w:rFonts w:hint="eastAsia" w:ascii="宋体" w:hAnsi="宋体" w:cs="宋体"/>
                <w:color w:val="000000"/>
                <w:szCs w:val="21"/>
                <w:lang w:bidi="ar"/>
              </w:rPr>
              <w:t xml:space="preserve">实时展示进入各个中转站的车辆信息和进站时间</w:t>
            </w:r>
            <w:r/>
          </w:p>
        </w:tc>
      </w:tr>
      <w:tr>
        <w:trPr>
          <w:trHeight w:val="850"/>
        </w:trPr>
        <w:tc>
          <w:tcPr>
            <w:shd w:val="clear" w:color="auto" w:fill="auto"/>
            <w:tcBorders>
              <w:top w:val="none" w:color="000000" w:sz="4" w:space="0"/>
              <w:left w:val="single" w:color="auto" w:sz="8" w:space="0"/>
              <w:bottom w:val="single" w:color="auto" w:sz="8" w:space="0"/>
              <w:right w:val="none" w:color="000000" w:sz="4" w:space="0"/>
            </w:tcBorders>
            <w:tcW w:w="375" w:type="pct"/>
            <w:vAlign w:val="center"/>
            <w:textDirection w:val="lrTb"/>
            <w:noWrap/>
          </w:tcPr>
          <w:p>
            <w:pPr>
              <w:jc w:val="center"/>
              <w:widowControl/>
              <w:rPr>
                <w:rFonts w:ascii="宋体" w:hAnsi="宋体" w:cs="宋体"/>
                <w:color w:val="000000"/>
              </w:rPr>
            </w:pPr>
            <w:r>
              <w:rPr>
                <w:rFonts w:hint="eastAsia" w:ascii="宋体" w:hAnsi="宋体" w:cs="宋体"/>
                <w:color w:val="000000"/>
                <w:szCs w:val="21"/>
                <w:lang w:bidi="ar"/>
              </w:rPr>
              <w:t xml:space="preserve">12</w:t>
            </w:r>
            <w:r/>
          </w:p>
        </w:tc>
        <w:tc>
          <w:tcPr>
            <w:tcBorders>
              <w:top w:val="none" w:color="000000" w:sz="4" w:space="0"/>
              <w:left w:val="single" w:color="auto" w:sz="8" w:space="0"/>
              <w:bottom w:val="single" w:color="000000" w:sz="8" w:space="0"/>
              <w:right w:val="single" w:color="auto" w:sz="8" w:space="0"/>
            </w:tcBorders>
            <w:tcW w:w="828"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none" w:color="000000" w:sz="4" w:space="0"/>
              <w:left w:val="none" w:color="000000" w:sz="4" w:space="0"/>
              <w:bottom w:val="single" w:color="auto" w:sz="8" w:space="0"/>
              <w:right w:val="single" w:color="auto" w:sz="8" w:space="0"/>
            </w:tcBorders>
            <w:tcW w:w="1196" w:type="pct"/>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统计分析</w:t>
            </w:r>
            <w:r/>
          </w:p>
        </w:tc>
        <w:tc>
          <w:tcPr>
            <w:gridSpan w:val="2"/>
            <w:shd w:val="clear" w:color="auto" w:fill="auto"/>
            <w:tcBorders>
              <w:top w:val="none" w:color="000000" w:sz="4" w:space="0"/>
              <w:left w:val="none" w:color="000000" w:sz="4" w:space="0"/>
              <w:bottom w:val="single" w:color="auto" w:sz="8" w:space="0"/>
              <w:right w:val="single" w:color="auto" w:sz="8" w:space="0"/>
            </w:tcBorders>
            <w:tcW w:w="2598" w:type="pct"/>
            <w:vAlign w:val="center"/>
            <w:textDirection w:val="lrTb"/>
            <w:noWrap w:val="false"/>
          </w:tcPr>
          <w:p>
            <w:pPr>
              <w:widowControl/>
              <w:rPr>
                <w:rFonts w:ascii="宋体" w:hAnsi="宋体" w:cs="宋体"/>
                <w:color w:val="000000"/>
              </w:rPr>
            </w:pPr>
            <w:r>
              <w:rPr>
                <w:rFonts w:hint="eastAsia" w:ascii="宋体" w:hAnsi="宋体" w:cs="宋体"/>
                <w:color w:val="000000"/>
                <w:szCs w:val="21"/>
                <w:lang w:bidi="ar"/>
              </w:rPr>
              <w:t xml:space="preserve">按照时间，统计各个中转站正常进站数量、异常进站数量</w:t>
            </w:r>
            <w:r/>
          </w:p>
        </w:tc>
      </w:tr>
      <w:tr>
        <w:trPr>
          <w:trHeight w:val="570"/>
        </w:trPr>
        <w:tc>
          <w:tcPr>
            <w:shd w:val="clear" w:color="auto" w:fill="auto"/>
            <w:tcBorders>
              <w:top w:val="none" w:color="000000" w:sz="4" w:space="0"/>
              <w:left w:val="single" w:color="auto" w:sz="8" w:space="0"/>
              <w:bottom w:val="single" w:color="auto" w:sz="8" w:space="0"/>
              <w:right w:val="none" w:color="000000" w:sz="4" w:space="0"/>
            </w:tcBorders>
            <w:tcW w:w="375" w:type="pct"/>
            <w:vAlign w:val="center"/>
            <w:textDirection w:val="lrTb"/>
            <w:noWrap/>
          </w:tcPr>
          <w:p>
            <w:pPr>
              <w:jc w:val="center"/>
              <w:widowControl/>
              <w:rPr>
                <w:rFonts w:ascii="宋体" w:hAnsi="宋体" w:cs="宋体"/>
                <w:color w:val="000000"/>
              </w:rPr>
            </w:pPr>
            <w:r>
              <w:rPr>
                <w:rFonts w:hint="eastAsia" w:ascii="宋体" w:hAnsi="宋体" w:cs="宋体"/>
                <w:color w:val="000000"/>
                <w:szCs w:val="21"/>
                <w:lang w:bidi="ar"/>
              </w:rPr>
              <w:t xml:space="preserve">13</w:t>
            </w:r>
            <w:r/>
          </w:p>
        </w:tc>
        <w:tc>
          <w:tcPr>
            <w:tcBorders>
              <w:top w:val="none" w:color="000000" w:sz="4" w:space="0"/>
              <w:left w:val="single" w:color="auto" w:sz="8" w:space="0"/>
              <w:bottom w:val="single" w:color="000000" w:sz="8" w:space="0"/>
              <w:right w:val="single" w:color="auto" w:sz="8" w:space="0"/>
            </w:tcBorders>
            <w:tcW w:w="828"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none" w:color="000000" w:sz="4" w:space="0"/>
              <w:left w:val="none" w:color="000000" w:sz="4" w:space="0"/>
              <w:bottom w:val="single" w:color="auto" w:sz="8" w:space="0"/>
              <w:right w:val="single" w:color="auto" w:sz="8" w:space="0"/>
            </w:tcBorders>
            <w:tcW w:w="1196" w:type="pct"/>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消息中心</w:t>
            </w:r>
            <w:r/>
          </w:p>
        </w:tc>
        <w:tc>
          <w:tcPr>
            <w:gridSpan w:val="2"/>
            <w:shd w:val="clear" w:color="auto" w:fill="auto"/>
            <w:tcBorders>
              <w:top w:val="none" w:color="000000" w:sz="4" w:space="0"/>
              <w:left w:val="none" w:color="000000" w:sz="4" w:space="0"/>
              <w:bottom w:val="single" w:color="auto" w:sz="8" w:space="0"/>
              <w:right w:val="single" w:color="auto" w:sz="8" w:space="0"/>
            </w:tcBorders>
            <w:tcW w:w="2598" w:type="pct"/>
            <w:vAlign w:val="center"/>
            <w:textDirection w:val="lrTb"/>
            <w:noWrap w:val="false"/>
          </w:tcPr>
          <w:p>
            <w:pPr>
              <w:widowControl/>
              <w:rPr>
                <w:rFonts w:ascii="宋体" w:hAnsi="宋体" w:cs="宋体"/>
                <w:color w:val="000000"/>
              </w:rPr>
            </w:pPr>
            <w:r>
              <w:rPr>
                <w:rFonts w:hint="eastAsia" w:ascii="宋体" w:hAnsi="宋体" w:cs="宋体"/>
                <w:color w:val="000000"/>
                <w:szCs w:val="21"/>
                <w:lang w:bidi="ar"/>
              </w:rPr>
              <w:t xml:space="preserve">异常进站车辆信息实时消息推送</w:t>
            </w:r>
            <w:r/>
          </w:p>
        </w:tc>
      </w:tr>
      <w:tr>
        <w:trPr>
          <w:trHeight w:val="290"/>
        </w:trPr>
        <w:tc>
          <w:tcPr>
            <w:gridSpan w:val="5"/>
            <w:shd w:val="clear" w:color="auto" w:fill="auto"/>
            <w:tcBorders>
              <w:top w:val="single" w:color="auto" w:sz="8" w:space="0"/>
              <w:left w:val="single" w:color="auto" w:sz="8" w:space="0"/>
              <w:bottom w:val="single" w:color="auto" w:sz="8" w:space="0"/>
              <w:right w:val="single" w:color="000000" w:sz="8" w:space="0"/>
            </w:tcBorders>
            <w:tcW w:w="5000" w:type="pct"/>
            <w:vAlign w:val="center"/>
            <w:textDirection w:val="lrTb"/>
            <w:noWrap w:val="false"/>
          </w:tcPr>
          <w:p>
            <w:pPr>
              <w:widowControl/>
              <w:rPr>
                <w:rFonts w:ascii="宋体" w:hAnsi="宋体" w:cs="宋体"/>
                <w:b/>
                <w:bCs/>
                <w:color w:val="000000"/>
              </w:rPr>
            </w:pPr>
            <w:r>
              <w:rPr>
                <w:rFonts w:hint="eastAsia" w:ascii="宋体" w:hAnsi="宋体" w:cs="宋体"/>
                <w:b/>
                <w:bCs/>
                <w:color w:val="000000"/>
                <w:szCs w:val="21"/>
              </w:rPr>
              <w:t xml:space="preserve">二、环卫车辆证照识别设备</w:t>
            </w:r>
            <w:r/>
          </w:p>
        </w:tc>
      </w:tr>
      <w:tr>
        <w:trPr>
          <w:trHeight w:val="570"/>
        </w:trPr>
        <w:tc>
          <w:tcPr>
            <w:shd w:val="clear" w:color="auto" w:fill="auto"/>
            <w:tcBorders>
              <w:top w:val="none" w:color="000000" w:sz="4" w:space="0"/>
              <w:left w:val="single" w:color="auto" w:sz="8" w:space="0"/>
              <w:bottom w:val="single" w:color="auto" w:sz="4" w:space="0"/>
              <w:right w:val="single" w:color="auto" w:sz="8" w:space="0"/>
            </w:tcBorders>
            <w:tcW w:w="375" w:type="pct"/>
            <w:vAlign w:val="center"/>
            <w:textDirection w:val="lrTb"/>
            <w:noWrap/>
          </w:tcPr>
          <w:p>
            <w:pPr>
              <w:jc w:val="center"/>
              <w:widowControl/>
              <w:rPr>
                <w:rFonts w:ascii="宋体" w:hAnsi="宋体" w:cs="宋体"/>
                <w:color w:val="000000"/>
              </w:rPr>
            </w:pPr>
            <w:r>
              <w:rPr>
                <w:rFonts w:hint="eastAsia" w:ascii="宋体" w:hAnsi="宋体" w:cs="宋体"/>
                <w:b/>
                <w:bCs/>
                <w:color w:val="000000"/>
                <w:szCs w:val="21"/>
                <w:lang w:bidi="ar"/>
              </w:rPr>
              <w:t xml:space="preserve">序号</w:t>
            </w:r>
            <w:r/>
          </w:p>
        </w:tc>
        <w:tc>
          <w:tcPr>
            <w:shd w:val="clear" w:color="auto" w:fill="auto"/>
            <w:tcBorders>
              <w:top w:val="none" w:color="000000" w:sz="4" w:space="0"/>
              <w:left w:val="single" w:color="auto" w:sz="8" w:space="0"/>
              <w:bottom w:val="single" w:color="auto" w:sz="4" w:space="0"/>
              <w:right w:val="single" w:color="auto" w:sz="8" w:space="0"/>
            </w:tcBorders>
            <w:tcW w:w="828" w:type="pct"/>
            <w:vAlign w:val="center"/>
            <w:textDirection w:val="lrTb"/>
            <w:noWrap w:val="false"/>
          </w:tcPr>
          <w:p>
            <w:pPr>
              <w:widowControl/>
              <w:rPr>
                <w:rFonts w:ascii="宋体" w:hAnsi="宋体" w:cs="宋体"/>
                <w:color w:val="000000"/>
              </w:rPr>
            </w:pPr>
            <w:r>
              <w:rPr>
                <w:rFonts w:hint="eastAsia" w:ascii="宋体" w:hAnsi="宋体" w:cs="宋体"/>
                <w:b/>
                <w:bCs/>
                <w:color w:val="000000"/>
                <w:szCs w:val="21"/>
                <w:lang w:bidi="ar"/>
              </w:rPr>
              <w:t xml:space="preserve">模块名称</w:t>
            </w:r>
            <w:r/>
          </w:p>
        </w:tc>
        <w:tc>
          <w:tcPr>
            <w:shd w:val="clear" w:color="auto" w:fill="auto"/>
            <w:tcBorders>
              <w:top w:val="none" w:color="000000" w:sz="4" w:space="0"/>
              <w:left w:val="none" w:color="000000" w:sz="4" w:space="0"/>
              <w:bottom w:val="single" w:color="auto" w:sz="4" w:space="0"/>
              <w:right w:val="single" w:color="auto" w:sz="8" w:space="0"/>
            </w:tcBorders>
            <w:tcW w:w="1196" w:type="pct"/>
            <w:vAlign w:val="center"/>
            <w:textDirection w:val="lrTb"/>
            <w:noWrap w:val="false"/>
          </w:tcPr>
          <w:p>
            <w:pPr>
              <w:jc w:val="center"/>
              <w:widowControl/>
              <w:rPr>
                <w:rFonts w:ascii="宋体" w:hAnsi="宋体" w:cs="宋体"/>
                <w:color w:val="000000"/>
              </w:rPr>
            </w:pPr>
            <w:r>
              <w:rPr>
                <w:rFonts w:hint="eastAsia" w:ascii="宋体" w:hAnsi="宋体" w:cs="宋体"/>
                <w:b/>
                <w:bCs/>
                <w:color w:val="000000"/>
                <w:szCs w:val="21"/>
                <w:lang w:bidi="ar"/>
              </w:rPr>
              <w:t xml:space="preserve">功能名称</w:t>
            </w:r>
            <w:r/>
          </w:p>
        </w:tc>
        <w:tc>
          <w:tcPr>
            <w:shd w:val="clear" w:color="auto" w:fill="auto"/>
            <w:tcBorders>
              <w:top w:val="none" w:color="000000" w:sz="4" w:space="0"/>
              <w:left w:val="none" w:color="000000" w:sz="4" w:space="0"/>
              <w:bottom w:val="single" w:color="auto" w:sz="4" w:space="0"/>
              <w:right w:val="single" w:color="auto" w:sz="8" w:space="0"/>
            </w:tcBorders>
            <w:tcW w:w="2097" w:type="pct"/>
            <w:vAlign w:val="center"/>
            <w:textDirection w:val="lrTb"/>
            <w:noWrap w:val="false"/>
          </w:tcPr>
          <w:p>
            <w:pPr>
              <w:jc w:val="center"/>
              <w:widowControl/>
              <w:rPr>
                <w:rFonts w:ascii="宋体" w:hAnsi="宋体" w:cs="宋体"/>
                <w:color w:val="000000"/>
              </w:rPr>
            </w:pPr>
            <w:r>
              <w:rPr>
                <w:rFonts w:hint="eastAsia" w:ascii="宋体" w:hAnsi="宋体" w:cs="宋体"/>
                <w:b/>
                <w:bCs/>
                <w:color w:val="000000"/>
                <w:szCs w:val="21"/>
                <w:lang w:bidi="ar"/>
              </w:rPr>
              <w:t xml:space="preserve">单位</w:t>
            </w:r>
            <w:r/>
          </w:p>
        </w:tc>
        <w:tc>
          <w:tcPr>
            <w:shd w:val="clear" w:color="auto" w:fill="auto"/>
            <w:tcBorders>
              <w:top w:val="none" w:color="000000" w:sz="4" w:space="0"/>
              <w:left w:val="none" w:color="000000" w:sz="4" w:space="0"/>
              <w:bottom w:val="single" w:color="auto" w:sz="4" w:space="0"/>
              <w:right w:val="single" w:color="auto" w:sz="8" w:space="0"/>
            </w:tcBorders>
            <w:tcW w:w="501" w:type="pct"/>
            <w:vAlign w:val="center"/>
            <w:textDirection w:val="lrTb"/>
            <w:noWrap w:val="false"/>
          </w:tcPr>
          <w:p>
            <w:pPr>
              <w:jc w:val="center"/>
              <w:widowControl/>
              <w:rPr>
                <w:rFonts w:ascii="宋体" w:hAnsi="宋体" w:cs="宋体"/>
                <w:color w:val="000000"/>
              </w:rPr>
            </w:pPr>
            <w:r>
              <w:rPr>
                <w:rFonts w:hint="eastAsia" w:ascii="宋体" w:hAnsi="宋体" w:cs="宋体"/>
                <w:b/>
                <w:bCs/>
                <w:color w:val="000000"/>
                <w:szCs w:val="21"/>
                <w:lang w:bidi="ar"/>
              </w:rPr>
              <w:t xml:space="preserve">数量</w:t>
            </w:r>
            <w:r/>
          </w:p>
        </w:tc>
      </w:tr>
      <w:tr>
        <w:trPr>
          <w:trHeight w:val="397"/>
        </w:trPr>
        <w:tc>
          <w:tcPr>
            <w:shd w:val="clear" w:color="auto" w:fill="auto"/>
            <w:tcBorders>
              <w:top w:val="single" w:color="auto" w:sz="4" w:space="0"/>
              <w:left w:val="single" w:color="auto" w:sz="8" w:space="0"/>
              <w:bottom w:val="single" w:color="auto" w:sz="8" w:space="0"/>
              <w:right w:val="single" w:color="auto" w:sz="8" w:space="0"/>
            </w:tcBorders>
            <w:tcW w:w="375" w:type="pct"/>
            <w:vAlign w:val="center"/>
            <w:textDirection w:val="lrTb"/>
            <w:noWrap/>
          </w:tcPr>
          <w:p>
            <w:pPr>
              <w:jc w:val="center"/>
              <w:widowControl/>
              <w:rPr>
                <w:rFonts w:ascii="宋体" w:hAnsi="宋体" w:cs="宋体"/>
                <w:color w:val="000000"/>
              </w:rPr>
            </w:pPr>
            <w:r>
              <w:rPr>
                <w:rFonts w:hint="eastAsia" w:ascii="宋体" w:hAnsi="宋体" w:cs="宋体"/>
                <w:color w:val="000000"/>
                <w:szCs w:val="21"/>
                <w:lang w:bidi="ar"/>
              </w:rPr>
              <w:t xml:space="preserve">1</w:t>
            </w:r>
            <w:r/>
          </w:p>
        </w:tc>
        <w:tc>
          <w:tcPr>
            <w:shd w:val="clear" w:color="auto" w:fill="auto"/>
            <w:tcBorders>
              <w:top w:val="single" w:color="auto" w:sz="4" w:space="0"/>
              <w:left w:val="single" w:color="auto" w:sz="8" w:space="0"/>
              <w:bottom w:val="single" w:color="000000" w:sz="8" w:space="0"/>
              <w:right w:val="single" w:color="auto" w:sz="8" w:space="0"/>
            </w:tcBorders>
            <w:tcW w:w="828" w:type="pct"/>
            <w:vAlign w:val="center"/>
            <w:vMerge w:val="restart"/>
            <w:textDirection w:val="lrTb"/>
            <w:noWrap w:val="false"/>
          </w:tcPr>
          <w:p>
            <w:pPr>
              <w:jc w:val="left"/>
              <w:widowControl/>
              <w:rPr>
                <w:rFonts w:ascii="宋体" w:hAnsi="宋体" w:cs="宋体"/>
                <w:color w:val="000000"/>
              </w:rPr>
            </w:pPr>
            <w:r>
              <w:rPr>
                <w:rFonts w:hint="eastAsia" w:ascii="宋体" w:hAnsi="宋体" w:cs="宋体"/>
                <w:color w:val="000000"/>
                <w:szCs w:val="21"/>
                <w:lang w:bidi="ar"/>
              </w:rPr>
              <w:t xml:space="preserve">环卫车辆证照识别设备</w:t>
            </w:r>
            <w:r/>
          </w:p>
        </w:tc>
        <w:tc>
          <w:tcPr>
            <w:shd w:val="clear" w:color="auto" w:fill="auto"/>
            <w:tcBorders>
              <w:top w:val="single" w:color="auto" w:sz="4" w:space="0"/>
              <w:left w:val="none" w:color="000000" w:sz="4" w:space="0"/>
              <w:bottom w:val="single" w:color="auto" w:sz="8" w:space="0"/>
              <w:right w:val="single" w:color="auto" w:sz="8" w:space="0"/>
            </w:tcBorders>
            <w:tcW w:w="1196" w:type="pct"/>
            <w:vAlign w:val="center"/>
            <w:textDirection w:val="lrTb"/>
            <w:noWrap w:val="false"/>
          </w:tcPr>
          <w:p>
            <w:pPr>
              <w:jc w:val="left"/>
              <w:widowControl/>
              <w:rPr>
                <w:rFonts w:ascii="宋体" w:hAnsi="宋体" w:cs="宋体"/>
                <w:color w:val="000000"/>
              </w:rPr>
            </w:pPr>
            <w:r>
              <w:rPr>
                <w:rFonts w:hint="eastAsia" w:ascii="宋体" w:hAnsi="宋体" w:cs="宋体"/>
                <w:color w:val="000000"/>
                <w:szCs w:val="21"/>
                <w:lang w:bidi="ar"/>
              </w:rPr>
              <w:t xml:space="preserve">智能扫描枪</w:t>
            </w:r>
            <w:r/>
          </w:p>
        </w:tc>
        <w:tc>
          <w:tcPr>
            <w:shd w:val="clear" w:color="auto" w:fill="auto"/>
            <w:tcBorders>
              <w:top w:val="single" w:color="auto" w:sz="4" w:space="0"/>
              <w:left w:val="none" w:color="000000" w:sz="4" w:space="0"/>
              <w:bottom w:val="single" w:color="auto" w:sz="8" w:space="0"/>
              <w:right w:val="single" w:color="auto" w:sz="8" w:space="0"/>
            </w:tcBorders>
            <w:tcW w:w="2097" w:type="pct"/>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把</w:t>
            </w:r>
            <w:r/>
          </w:p>
        </w:tc>
        <w:tc>
          <w:tcPr>
            <w:shd w:val="clear" w:color="auto" w:fill="auto"/>
            <w:tcBorders>
              <w:top w:val="single" w:color="auto" w:sz="4" w:space="0"/>
              <w:left w:val="none" w:color="000000" w:sz="4" w:space="0"/>
              <w:bottom w:val="single" w:color="auto" w:sz="8" w:space="0"/>
              <w:right w:val="single" w:color="auto" w:sz="8" w:space="0"/>
            </w:tcBorders>
            <w:tcW w:w="501" w:type="pct"/>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50</w:t>
            </w:r>
            <w:r/>
          </w:p>
        </w:tc>
      </w:tr>
      <w:tr>
        <w:trPr>
          <w:trHeight w:val="397"/>
        </w:trPr>
        <w:tc>
          <w:tcPr>
            <w:shd w:val="clear" w:color="auto" w:fill="auto"/>
            <w:tcBorders>
              <w:top w:val="none" w:color="000000" w:sz="4" w:space="0"/>
              <w:left w:val="single" w:color="auto" w:sz="8" w:space="0"/>
              <w:bottom w:val="single" w:color="auto" w:sz="8" w:space="0"/>
              <w:right w:val="single" w:color="auto" w:sz="8" w:space="0"/>
            </w:tcBorders>
            <w:tcW w:w="375" w:type="pct"/>
            <w:vAlign w:val="center"/>
            <w:textDirection w:val="lrTb"/>
            <w:noWrap/>
          </w:tcPr>
          <w:p>
            <w:pPr>
              <w:jc w:val="center"/>
              <w:widowControl/>
              <w:rPr>
                <w:rFonts w:ascii="宋体" w:hAnsi="宋体" w:cs="宋体"/>
                <w:color w:val="000000"/>
              </w:rPr>
            </w:pPr>
            <w:r>
              <w:rPr>
                <w:rFonts w:hint="eastAsia" w:ascii="宋体" w:hAnsi="宋体" w:cs="宋体"/>
                <w:color w:val="000000"/>
                <w:szCs w:val="21"/>
                <w:lang w:bidi="ar"/>
              </w:rPr>
              <w:t xml:space="preserve">2</w:t>
            </w:r>
            <w:r/>
          </w:p>
        </w:tc>
        <w:tc>
          <w:tcPr>
            <w:tcBorders>
              <w:top w:val="none" w:color="000000" w:sz="4" w:space="0"/>
              <w:left w:val="single" w:color="auto" w:sz="8" w:space="0"/>
              <w:bottom w:val="single" w:color="000000" w:sz="8" w:space="0"/>
              <w:right w:val="single" w:color="auto" w:sz="8" w:space="0"/>
            </w:tcBorders>
            <w:tcW w:w="828" w:type="pct"/>
            <w:vAlign w:val="center"/>
            <w:vMerge w:val="continue"/>
            <w:textDirection w:val="lrTb"/>
            <w:noWrap w:val="false"/>
          </w:tcPr>
          <w:p>
            <w:pPr>
              <w:jc w:val="left"/>
              <w:rPr>
                <w:rFonts w:ascii="宋体" w:hAnsi="宋体" w:cs="宋体"/>
                <w:color w:val="000000"/>
              </w:rPr>
            </w:pPr>
            <w:r>
              <w:rPr>
                <w:rFonts w:ascii="宋体" w:hAnsi="宋体" w:cs="宋体"/>
                <w:color w:val="000000"/>
              </w:rPr>
            </w:r>
            <w:r/>
          </w:p>
        </w:tc>
        <w:tc>
          <w:tcPr>
            <w:shd w:val="clear" w:color="auto" w:fill="auto"/>
            <w:tcBorders>
              <w:top w:val="none" w:color="000000" w:sz="4" w:space="0"/>
              <w:left w:val="none" w:color="000000" w:sz="4" w:space="0"/>
              <w:bottom w:val="single" w:color="auto" w:sz="8" w:space="0"/>
              <w:right w:val="single" w:color="auto" w:sz="8" w:space="0"/>
            </w:tcBorders>
            <w:tcW w:w="1196" w:type="pct"/>
            <w:vAlign w:val="center"/>
            <w:textDirection w:val="lrTb"/>
            <w:noWrap w:val="false"/>
          </w:tcPr>
          <w:p>
            <w:pPr>
              <w:jc w:val="left"/>
              <w:widowControl/>
              <w:rPr>
                <w:rFonts w:ascii="宋体" w:hAnsi="宋体" w:cs="宋体"/>
                <w:color w:val="000000"/>
              </w:rPr>
            </w:pPr>
            <w:r>
              <w:rPr>
                <w:rFonts w:hint="eastAsia" w:ascii="宋体" w:hAnsi="宋体" w:cs="宋体"/>
                <w:color w:val="000000"/>
                <w:szCs w:val="21"/>
                <w:lang w:bidi="ar"/>
              </w:rPr>
              <w:t xml:space="preserve">物</w:t>
            </w:r>
            <w:r>
              <w:rPr>
                <w:rFonts w:hint="eastAsia" w:ascii="宋体" w:hAnsi="宋体" w:cs="宋体"/>
                <w:color w:val="000000"/>
                <w:szCs w:val="21"/>
                <w:lang w:bidi="ar"/>
              </w:rPr>
              <w:t xml:space="preserve">联网卡</w:t>
            </w:r>
            <w:r/>
          </w:p>
        </w:tc>
        <w:tc>
          <w:tcPr>
            <w:shd w:val="clear" w:color="auto" w:fill="auto"/>
            <w:tcBorders>
              <w:top w:val="none" w:color="000000" w:sz="4" w:space="0"/>
              <w:left w:val="none" w:color="000000" w:sz="4" w:space="0"/>
              <w:bottom w:val="single" w:color="auto" w:sz="8" w:space="0"/>
              <w:right w:val="single" w:color="auto" w:sz="8" w:space="0"/>
            </w:tcBorders>
            <w:tcW w:w="2097" w:type="pct"/>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张</w:t>
            </w:r>
            <w:r/>
          </w:p>
        </w:tc>
        <w:tc>
          <w:tcPr>
            <w:shd w:val="clear" w:color="auto" w:fill="auto"/>
            <w:tcBorders>
              <w:top w:val="none" w:color="000000" w:sz="4" w:space="0"/>
              <w:left w:val="none" w:color="000000" w:sz="4" w:space="0"/>
              <w:bottom w:val="single" w:color="auto" w:sz="8" w:space="0"/>
              <w:right w:val="single" w:color="auto" w:sz="8" w:space="0"/>
            </w:tcBorders>
            <w:tcW w:w="501" w:type="pct"/>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50</w:t>
            </w:r>
            <w:r/>
          </w:p>
        </w:tc>
      </w:tr>
      <w:tr>
        <w:trPr>
          <w:trHeight w:val="397"/>
        </w:trPr>
        <w:tc>
          <w:tcPr>
            <w:shd w:val="clear" w:color="auto" w:fill="auto"/>
            <w:tcBorders>
              <w:top w:val="none" w:color="000000" w:sz="4" w:space="0"/>
              <w:left w:val="single" w:color="auto" w:sz="8" w:space="0"/>
              <w:bottom w:val="single" w:color="auto" w:sz="8" w:space="0"/>
              <w:right w:val="single" w:color="auto" w:sz="8" w:space="0"/>
            </w:tcBorders>
            <w:tcW w:w="375" w:type="pct"/>
            <w:vAlign w:val="center"/>
            <w:textDirection w:val="lrTb"/>
            <w:noWrap/>
          </w:tcPr>
          <w:p>
            <w:pPr>
              <w:jc w:val="center"/>
              <w:widowControl/>
              <w:rPr>
                <w:rFonts w:ascii="宋体" w:hAnsi="宋体" w:cs="宋体"/>
                <w:color w:val="000000"/>
              </w:rPr>
            </w:pPr>
            <w:r>
              <w:rPr>
                <w:rFonts w:hint="eastAsia" w:ascii="宋体" w:hAnsi="宋体" w:cs="宋体"/>
                <w:color w:val="000000"/>
                <w:szCs w:val="21"/>
                <w:lang w:bidi="ar"/>
              </w:rPr>
              <w:t xml:space="preserve">3</w:t>
            </w:r>
            <w:r/>
          </w:p>
        </w:tc>
        <w:tc>
          <w:tcPr>
            <w:tcBorders>
              <w:top w:val="none" w:color="000000" w:sz="4" w:space="0"/>
              <w:left w:val="single" w:color="auto" w:sz="8" w:space="0"/>
              <w:bottom w:val="single" w:color="000000" w:sz="8" w:space="0"/>
              <w:right w:val="single" w:color="auto" w:sz="8" w:space="0"/>
            </w:tcBorders>
            <w:tcW w:w="828" w:type="pct"/>
            <w:vAlign w:val="center"/>
            <w:vMerge w:val="continue"/>
            <w:textDirection w:val="lrTb"/>
            <w:noWrap w:val="false"/>
          </w:tcPr>
          <w:p>
            <w:pPr>
              <w:jc w:val="left"/>
              <w:rPr>
                <w:rFonts w:ascii="宋体" w:hAnsi="宋体" w:cs="宋体"/>
                <w:color w:val="000000"/>
              </w:rPr>
            </w:pPr>
            <w:r>
              <w:rPr>
                <w:rFonts w:ascii="宋体" w:hAnsi="宋体" w:cs="宋体"/>
                <w:color w:val="000000"/>
              </w:rPr>
            </w:r>
            <w:r/>
          </w:p>
        </w:tc>
        <w:tc>
          <w:tcPr>
            <w:shd w:val="clear" w:color="auto" w:fill="auto"/>
            <w:tcBorders>
              <w:top w:val="none" w:color="000000" w:sz="4" w:space="0"/>
              <w:left w:val="none" w:color="000000" w:sz="4" w:space="0"/>
              <w:bottom w:val="single" w:color="auto" w:sz="8" w:space="0"/>
              <w:right w:val="single" w:color="auto" w:sz="8" w:space="0"/>
            </w:tcBorders>
            <w:tcW w:w="1196" w:type="pct"/>
            <w:vAlign w:val="center"/>
            <w:textDirection w:val="lrTb"/>
            <w:noWrap w:val="false"/>
          </w:tcPr>
          <w:p>
            <w:pPr>
              <w:jc w:val="left"/>
              <w:widowControl/>
              <w:rPr>
                <w:rFonts w:ascii="宋体" w:hAnsi="宋体" w:cs="宋体"/>
                <w:color w:val="000000"/>
              </w:rPr>
            </w:pPr>
            <w:r>
              <w:rPr>
                <w:rFonts w:hint="eastAsia" w:ascii="宋体" w:hAnsi="宋体" w:cs="宋体"/>
                <w:color w:val="000000"/>
                <w:szCs w:val="21"/>
                <w:lang w:bidi="ar"/>
              </w:rPr>
              <w:t xml:space="preserve">二</w:t>
            </w:r>
            <w:r>
              <w:rPr>
                <w:rFonts w:hint="eastAsia" w:ascii="宋体" w:hAnsi="宋体" w:cs="宋体"/>
                <w:color w:val="000000"/>
                <w:szCs w:val="21"/>
                <w:lang w:bidi="ar"/>
              </w:rPr>
              <w:t xml:space="preserve">维码制作</w:t>
            </w:r>
            <w:r/>
          </w:p>
        </w:tc>
        <w:tc>
          <w:tcPr>
            <w:shd w:val="clear" w:color="auto" w:fill="auto"/>
            <w:tcBorders>
              <w:top w:val="none" w:color="000000" w:sz="4" w:space="0"/>
              <w:left w:val="none" w:color="000000" w:sz="4" w:space="0"/>
              <w:bottom w:val="single" w:color="auto" w:sz="8" w:space="0"/>
              <w:right w:val="single" w:color="auto" w:sz="8" w:space="0"/>
            </w:tcBorders>
            <w:tcW w:w="2097" w:type="pct"/>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张</w:t>
            </w:r>
            <w:r/>
          </w:p>
        </w:tc>
        <w:tc>
          <w:tcPr>
            <w:shd w:val="clear" w:color="auto" w:fill="auto"/>
            <w:tcBorders>
              <w:top w:val="none" w:color="000000" w:sz="4" w:space="0"/>
              <w:left w:val="none" w:color="000000" w:sz="4" w:space="0"/>
              <w:bottom w:val="single" w:color="auto" w:sz="8" w:space="0"/>
              <w:right w:val="single" w:color="auto" w:sz="8" w:space="0"/>
            </w:tcBorders>
            <w:tcW w:w="501" w:type="pct"/>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100</w:t>
            </w:r>
            <w:r/>
          </w:p>
        </w:tc>
      </w:tr>
      <w:tr>
        <w:trPr>
          <w:trHeight w:val="397"/>
        </w:trPr>
        <w:tc>
          <w:tcPr>
            <w:shd w:val="clear" w:color="auto" w:fill="auto"/>
            <w:tcBorders>
              <w:top w:val="none" w:color="000000" w:sz="4" w:space="0"/>
              <w:left w:val="single" w:color="auto" w:sz="8" w:space="0"/>
              <w:bottom w:val="single" w:color="auto" w:sz="8" w:space="0"/>
              <w:right w:val="single" w:color="auto" w:sz="8" w:space="0"/>
            </w:tcBorders>
            <w:tcW w:w="375" w:type="pct"/>
            <w:vAlign w:val="center"/>
            <w:textDirection w:val="lrTb"/>
            <w:noWrap/>
          </w:tcPr>
          <w:p>
            <w:pPr>
              <w:jc w:val="center"/>
              <w:widowControl/>
              <w:rPr>
                <w:rFonts w:ascii="宋体" w:hAnsi="宋体" w:cs="宋体"/>
                <w:color w:val="000000"/>
              </w:rPr>
            </w:pPr>
            <w:r>
              <w:rPr>
                <w:rFonts w:hint="eastAsia" w:ascii="宋体" w:hAnsi="宋体" w:cs="宋体"/>
                <w:color w:val="000000"/>
                <w:szCs w:val="21"/>
                <w:lang w:bidi="ar"/>
              </w:rPr>
              <w:t xml:space="preserve">4</w:t>
            </w:r>
            <w:r/>
          </w:p>
        </w:tc>
        <w:tc>
          <w:tcPr>
            <w:tcBorders>
              <w:top w:val="none" w:color="000000" w:sz="4" w:space="0"/>
              <w:left w:val="single" w:color="auto" w:sz="8" w:space="0"/>
              <w:bottom w:val="single" w:color="000000" w:sz="8" w:space="0"/>
              <w:right w:val="single" w:color="auto" w:sz="8" w:space="0"/>
            </w:tcBorders>
            <w:tcW w:w="828" w:type="pct"/>
            <w:vAlign w:val="center"/>
            <w:vMerge w:val="continue"/>
            <w:textDirection w:val="lrTb"/>
            <w:noWrap w:val="false"/>
          </w:tcPr>
          <w:p>
            <w:pPr>
              <w:jc w:val="left"/>
              <w:rPr>
                <w:rFonts w:ascii="宋体" w:hAnsi="宋体" w:cs="宋体"/>
                <w:color w:val="000000"/>
              </w:rPr>
            </w:pPr>
            <w:r>
              <w:rPr>
                <w:rFonts w:ascii="宋体" w:hAnsi="宋体" w:cs="宋体"/>
                <w:color w:val="000000"/>
              </w:rPr>
            </w:r>
            <w:r/>
          </w:p>
        </w:tc>
        <w:tc>
          <w:tcPr>
            <w:shd w:val="clear" w:color="auto" w:fill="auto"/>
            <w:tcBorders>
              <w:top w:val="none" w:color="000000" w:sz="4" w:space="0"/>
              <w:left w:val="none" w:color="000000" w:sz="4" w:space="0"/>
              <w:bottom w:val="single" w:color="auto" w:sz="8" w:space="0"/>
              <w:right w:val="single" w:color="auto" w:sz="8" w:space="0"/>
            </w:tcBorders>
            <w:tcW w:w="1196" w:type="pct"/>
            <w:vAlign w:val="center"/>
            <w:textDirection w:val="lrTb"/>
            <w:noWrap w:val="false"/>
          </w:tcPr>
          <w:p>
            <w:pPr>
              <w:jc w:val="left"/>
              <w:widowControl/>
              <w:rPr>
                <w:rFonts w:ascii="宋体" w:hAnsi="宋体" w:cs="宋体"/>
                <w:color w:val="000000"/>
              </w:rPr>
            </w:pPr>
            <w:r>
              <w:rPr>
                <w:rFonts w:hint="eastAsia" w:ascii="宋体" w:hAnsi="宋体" w:cs="宋体"/>
                <w:color w:val="000000"/>
                <w:szCs w:val="21"/>
                <w:lang w:bidi="ar"/>
              </w:rPr>
              <w:t xml:space="preserve">软件平台</w:t>
            </w:r>
            <w:r/>
          </w:p>
        </w:tc>
        <w:tc>
          <w:tcPr>
            <w:shd w:val="clear" w:color="auto" w:fill="auto"/>
            <w:tcBorders>
              <w:top w:val="none" w:color="000000" w:sz="4" w:space="0"/>
              <w:left w:val="none" w:color="000000" w:sz="4" w:space="0"/>
              <w:bottom w:val="single" w:color="auto" w:sz="8" w:space="0"/>
              <w:right w:val="single" w:color="auto" w:sz="8" w:space="0"/>
            </w:tcBorders>
            <w:tcW w:w="2097" w:type="pct"/>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年</w:t>
            </w:r>
            <w:r/>
          </w:p>
        </w:tc>
        <w:tc>
          <w:tcPr>
            <w:shd w:val="clear" w:color="auto" w:fill="auto"/>
            <w:tcBorders>
              <w:top w:val="none" w:color="000000" w:sz="4" w:space="0"/>
              <w:left w:val="none" w:color="000000" w:sz="4" w:space="0"/>
              <w:bottom w:val="single" w:color="auto" w:sz="8" w:space="0"/>
              <w:right w:val="single" w:color="auto" w:sz="8" w:space="0"/>
            </w:tcBorders>
            <w:tcW w:w="501" w:type="pct"/>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rPr>
              <w:t xml:space="preserve">3</w:t>
            </w:r>
            <w:r/>
          </w:p>
        </w:tc>
      </w:tr>
      <w:tr>
        <w:trPr>
          <w:trHeight w:val="397"/>
        </w:trPr>
        <w:tc>
          <w:tcPr>
            <w:shd w:val="clear" w:color="auto" w:fill="auto"/>
            <w:tcBorders>
              <w:top w:val="none" w:color="000000" w:sz="4" w:space="0"/>
              <w:left w:val="single" w:color="auto" w:sz="8" w:space="0"/>
              <w:bottom w:val="single" w:color="auto" w:sz="8" w:space="0"/>
              <w:right w:val="single" w:color="auto" w:sz="8" w:space="0"/>
            </w:tcBorders>
            <w:tcW w:w="375" w:type="pct"/>
            <w:vAlign w:val="center"/>
            <w:textDirection w:val="lrTb"/>
            <w:noWrap/>
          </w:tcPr>
          <w:p>
            <w:pPr>
              <w:jc w:val="center"/>
              <w:widowControl/>
              <w:rPr>
                <w:rFonts w:ascii="宋体" w:hAnsi="宋体" w:cs="宋体"/>
                <w:color w:val="000000"/>
              </w:rPr>
            </w:pPr>
            <w:r>
              <w:rPr>
                <w:rFonts w:hint="eastAsia" w:ascii="宋体" w:hAnsi="宋体" w:cs="宋体"/>
                <w:color w:val="000000"/>
                <w:szCs w:val="21"/>
                <w:lang w:bidi="ar"/>
              </w:rPr>
              <w:t xml:space="preserve">5</w:t>
            </w:r>
            <w:r/>
          </w:p>
        </w:tc>
        <w:tc>
          <w:tcPr>
            <w:tcBorders>
              <w:top w:val="none" w:color="000000" w:sz="4" w:space="0"/>
              <w:left w:val="single" w:color="auto" w:sz="8" w:space="0"/>
              <w:bottom w:val="single" w:color="000000" w:sz="8" w:space="0"/>
              <w:right w:val="single" w:color="auto" w:sz="8" w:space="0"/>
            </w:tcBorders>
            <w:tcW w:w="828" w:type="pct"/>
            <w:vAlign w:val="center"/>
            <w:vMerge w:val="continue"/>
            <w:textDirection w:val="lrTb"/>
            <w:noWrap w:val="false"/>
          </w:tcPr>
          <w:p>
            <w:pPr>
              <w:jc w:val="left"/>
              <w:rPr>
                <w:rFonts w:ascii="宋体" w:hAnsi="宋体" w:cs="宋体"/>
                <w:color w:val="000000"/>
              </w:rPr>
            </w:pPr>
            <w:r>
              <w:rPr>
                <w:rFonts w:ascii="宋体" w:hAnsi="宋体" w:cs="宋体"/>
                <w:color w:val="000000"/>
              </w:rPr>
            </w:r>
            <w:r/>
          </w:p>
        </w:tc>
        <w:tc>
          <w:tcPr>
            <w:shd w:val="clear" w:color="auto" w:fill="auto"/>
            <w:tcBorders>
              <w:top w:val="none" w:color="000000" w:sz="4" w:space="0"/>
              <w:left w:val="none" w:color="000000" w:sz="4" w:space="0"/>
              <w:bottom w:val="single" w:color="auto" w:sz="8" w:space="0"/>
              <w:right w:val="single" w:color="auto" w:sz="8" w:space="0"/>
            </w:tcBorders>
            <w:tcW w:w="1196" w:type="pct"/>
            <w:vAlign w:val="center"/>
            <w:textDirection w:val="lrTb"/>
            <w:noWrap w:val="false"/>
          </w:tcPr>
          <w:p>
            <w:pPr>
              <w:jc w:val="left"/>
              <w:widowControl/>
              <w:rPr>
                <w:rFonts w:ascii="宋体" w:hAnsi="宋体" w:cs="宋体"/>
                <w:color w:val="000000"/>
              </w:rPr>
            </w:pPr>
            <w:r>
              <w:rPr>
                <w:rFonts w:hint="eastAsia" w:ascii="宋体" w:hAnsi="宋体" w:cs="宋体"/>
                <w:color w:val="000000"/>
                <w:szCs w:val="21"/>
                <w:lang w:bidi="ar"/>
              </w:rPr>
              <w:t xml:space="preserve">平台对接</w:t>
            </w:r>
            <w:r/>
          </w:p>
        </w:tc>
        <w:tc>
          <w:tcPr>
            <w:shd w:val="clear" w:color="auto" w:fill="auto"/>
            <w:tcBorders>
              <w:top w:val="none" w:color="000000" w:sz="4" w:space="0"/>
              <w:left w:val="none" w:color="000000" w:sz="4" w:space="0"/>
              <w:bottom w:val="single" w:color="auto" w:sz="8" w:space="0"/>
              <w:right w:val="single" w:color="auto" w:sz="8" w:space="0"/>
            </w:tcBorders>
            <w:tcW w:w="2097" w:type="pct"/>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项</w:t>
            </w:r>
            <w:r/>
          </w:p>
        </w:tc>
        <w:tc>
          <w:tcPr>
            <w:shd w:val="clear" w:color="auto" w:fill="auto"/>
            <w:tcBorders>
              <w:top w:val="none" w:color="000000" w:sz="4" w:space="0"/>
              <w:left w:val="none" w:color="000000" w:sz="4" w:space="0"/>
              <w:bottom w:val="single" w:color="auto" w:sz="8" w:space="0"/>
              <w:right w:val="single" w:color="auto" w:sz="8" w:space="0"/>
            </w:tcBorders>
            <w:tcW w:w="501" w:type="pct"/>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1</w:t>
            </w:r>
            <w:r/>
          </w:p>
        </w:tc>
      </w:tr>
      <w:tr>
        <w:trPr>
          <w:trHeight w:val="397"/>
        </w:trPr>
        <w:tc>
          <w:tcPr>
            <w:shd w:val="clear" w:color="auto" w:fill="auto"/>
            <w:tcBorders>
              <w:top w:val="none" w:color="000000" w:sz="4" w:space="0"/>
              <w:left w:val="single" w:color="auto" w:sz="8" w:space="0"/>
              <w:bottom w:val="single" w:color="auto" w:sz="4" w:space="0"/>
              <w:right w:val="single" w:color="auto" w:sz="8" w:space="0"/>
            </w:tcBorders>
            <w:tcW w:w="375" w:type="pct"/>
            <w:vAlign w:val="center"/>
            <w:textDirection w:val="lrTb"/>
            <w:noWrap/>
          </w:tcPr>
          <w:p>
            <w:pPr>
              <w:jc w:val="center"/>
              <w:widowControl/>
              <w:rPr>
                <w:rFonts w:ascii="宋体" w:hAnsi="宋体" w:cs="宋体"/>
                <w:color w:val="000000"/>
              </w:rPr>
            </w:pPr>
            <w:r>
              <w:rPr>
                <w:rFonts w:hint="eastAsia" w:ascii="宋体" w:hAnsi="宋体" w:cs="宋体"/>
                <w:color w:val="000000"/>
                <w:szCs w:val="21"/>
                <w:lang w:bidi="ar"/>
              </w:rPr>
              <w:t xml:space="preserve">6</w:t>
            </w:r>
            <w:r/>
          </w:p>
        </w:tc>
        <w:tc>
          <w:tcPr>
            <w:tcBorders>
              <w:top w:val="none" w:color="000000" w:sz="4" w:space="0"/>
              <w:left w:val="single" w:color="auto" w:sz="8" w:space="0"/>
              <w:bottom w:val="single" w:color="auto" w:sz="4" w:space="0"/>
              <w:right w:val="single" w:color="auto" w:sz="8" w:space="0"/>
            </w:tcBorders>
            <w:tcW w:w="828" w:type="pct"/>
            <w:vAlign w:val="center"/>
            <w:vMerge w:val="continue"/>
            <w:textDirection w:val="lrTb"/>
            <w:noWrap w:val="false"/>
          </w:tcPr>
          <w:p>
            <w:pPr>
              <w:jc w:val="left"/>
              <w:rPr>
                <w:rFonts w:ascii="宋体" w:hAnsi="宋体" w:cs="宋体"/>
                <w:color w:val="000000"/>
              </w:rPr>
            </w:pPr>
            <w:r>
              <w:rPr>
                <w:rFonts w:ascii="宋体" w:hAnsi="宋体" w:cs="宋体"/>
                <w:color w:val="000000"/>
              </w:rPr>
            </w:r>
            <w:r/>
          </w:p>
        </w:tc>
        <w:tc>
          <w:tcPr>
            <w:shd w:val="clear" w:color="auto" w:fill="auto"/>
            <w:tcBorders>
              <w:top w:val="none" w:color="000000" w:sz="4" w:space="0"/>
              <w:left w:val="none" w:color="000000" w:sz="4" w:space="0"/>
              <w:bottom w:val="single" w:color="auto" w:sz="4" w:space="0"/>
              <w:right w:val="single" w:color="auto" w:sz="8" w:space="0"/>
            </w:tcBorders>
            <w:tcW w:w="1196" w:type="pct"/>
            <w:vAlign w:val="center"/>
            <w:textDirection w:val="lrTb"/>
            <w:noWrap w:val="false"/>
          </w:tcPr>
          <w:p>
            <w:pPr>
              <w:jc w:val="left"/>
              <w:widowControl/>
              <w:rPr>
                <w:rFonts w:ascii="宋体" w:hAnsi="宋体" w:cs="宋体"/>
                <w:color w:val="000000"/>
              </w:rPr>
            </w:pPr>
            <w:r>
              <w:rPr>
                <w:rFonts w:hint="eastAsia" w:ascii="宋体" w:hAnsi="宋体" w:cs="宋体"/>
                <w:color w:val="000000"/>
                <w:szCs w:val="21"/>
                <w:lang w:bidi="ar"/>
              </w:rPr>
              <w:t xml:space="preserve">安装调试费</w:t>
            </w:r>
            <w:r/>
          </w:p>
        </w:tc>
        <w:tc>
          <w:tcPr>
            <w:shd w:val="clear" w:color="auto" w:fill="auto"/>
            <w:tcBorders>
              <w:top w:val="none" w:color="000000" w:sz="4" w:space="0"/>
              <w:left w:val="none" w:color="000000" w:sz="4" w:space="0"/>
              <w:bottom w:val="single" w:color="auto" w:sz="4" w:space="0"/>
              <w:right w:val="single" w:color="auto" w:sz="8" w:space="0"/>
            </w:tcBorders>
            <w:tcW w:w="2097" w:type="pct"/>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把</w:t>
            </w:r>
            <w:r/>
          </w:p>
        </w:tc>
        <w:tc>
          <w:tcPr>
            <w:shd w:val="clear" w:color="auto" w:fill="auto"/>
            <w:tcBorders>
              <w:top w:val="none" w:color="000000" w:sz="4" w:space="0"/>
              <w:left w:val="none" w:color="000000" w:sz="4" w:space="0"/>
              <w:bottom w:val="single" w:color="auto" w:sz="4" w:space="0"/>
              <w:right w:val="single" w:color="auto" w:sz="8" w:space="0"/>
            </w:tcBorders>
            <w:tcW w:w="501" w:type="pct"/>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50</w:t>
            </w:r>
            <w:r/>
          </w:p>
        </w:tc>
      </w:tr>
    </w:tbl>
    <w:p>
      <w:pPr>
        <w:jc w:val="center"/>
        <w:spacing w:before="156" w:line="360" w:lineRule="auto"/>
        <w:rPr>
          <w:rFonts w:ascii="宋体" w:hAnsi="宋体" w:cs="宋体"/>
          <w:b/>
          <w:bCs/>
          <w:color w:val="000000"/>
        </w:rPr>
      </w:pPr>
      <w:r>
        <w:rPr>
          <w:rFonts w:hint="eastAsia" w:ascii="宋体" w:hAnsi="宋体" w:cs="宋体"/>
          <w:b/>
          <w:bCs/>
          <w:szCs w:val="21"/>
        </w:rPr>
        <w:t xml:space="preserve">（二）公厕数据接入</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47"/>
        <w:gridCol w:w="1946"/>
        <w:gridCol w:w="1949"/>
        <w:gridCol w:w="3894"/>
      </w:tblGrid>
      <w:tr>
        <w:trPr/>
        <w:tc>
          <w:tcPr>
            <w:shd w:val="clear" w:color="auto" w:fill="auto"/>
            <w:tcW w:w="1992" w:type="dxa"/>
            <w:vAlign w:val="center"/>
            <w:textDirection w:val="lrTb"/>
            <w:noWrap w:val="false"/>
          </w:tcPr>
          <w:p>
            <w:pPr>
              <w:jc w:val="center"/>
              <w:widowControl/>
              <w:rPr>
                <w:rFonts w:ascii="宋体" w:hAnsi="宋体" w:cs="宋体"/>
                <w:b/>
                <w:bCs/>
              </w:rPr>
            </w:pPr>
            <w:r>
              <w:rPr>
                <w:rFonts w:hint="eastAsia" w:ascii="宋体" w:hAnsi="宋体" w:cs="宋体"/>
                <w:b/>
                <w:bCs/>
                <w:color w:val="000000"/>
                <w:szCs w:val="21"/>
                <w:lang w:bidi="ar"/>
              </w:rPr>
              <w:t xml:space="preserve">序号</w:t>
            </w:r>
            <w:r/>
          </w:p>
        </w:tc>
        <w:tc>
          <w:tcPr>
            <w:shd w:val="clear" w:color="auto" w:fill="auto"/>
            <w:tcW w:w="1992" w:type="dxa"/>
            <w:vAlign w:val="center"/>
            <w:textDirection w:val="lrTb"/>
            <w:noWrap w:val="false"/>
          </w:tcPr>
          <w:p>
            <w:pPr>
              <w:jc w:val="center"/>
              <w:widowControl/>
              <w:rPr>
                <w:rFonts w:ascii="宋体" w:hAnsi="宋体" w:cs="宋体"/>
                <w:b/>
                <w:bCs/>
              </w:rPr>
            </w:pPr>
            <w:r>
              <w:rPr>
                <w:rFonts w:hint="eastAsia" w:ascii="宋体" w:hAnsi="宋体" w:cs="宋体"/>
                <w:b/>
                <w:bCs/>
                <w:color w:val="000000"/>
                <w:szCs w:val="21"/>
                <w:lang w:bidi="ar"/>
              </w:rPr>
              <w:t xml:space="preserve">模块名称</w:t>
            </w:r>
            <w:r/>
          </w:p>
        </w:tc>
        <w:tc>
          <w:tcPr>
            <w:shd w:val="clear" w:color="auto" w:fill="auto"/>
            <w:tcW w:w="1992" w:type="dxa"/>
            <w:vAlign w:val="center"/>
            <w:textDirection w:val="lrTb"/>
            <w:noWrap w:val="false"/>
          </w:tcPr>
          <w:p>
            <w:pPr>
              <w:jc w:val="center"/>
              <w:widowControl/>
              <w:rPr>
                <w:rFonts w:ascii="宋体" w:hAnsi="宋体" w:cs="宋体"/>
                <w:b/>
                <w:bCs/>
              </w:rPr>
            </w:pPr>
            <w:r>
              <w:rPr>
                <w:rFonts w:hint="eastAsia" w:ascii="宋体" w:hAnsi="宋体" w:cs="宋体"/>
                <w:b/>
                <w:bCs/>
                <w:color w:val="000000"/>
                <w:szCs w:val="21"/>
                <w:lang w:bidi="ar"/>
              </w:rPr>
              <w:t xml:space="preserve">功能名称</w:t>
            </w:r>
            <w:r/>
          </w:p>
        </w:tc>
        <w:tc>
          <w:tcPr>
            <w:shd w:val="clear" w:color="auto" w:fill="auto"/>
            <w:tcW w:w="3986" w:type="dxa"/>
            <w:vAlign w:val="center"/>
            <w:textDirection w:val="lrTb"/>
            <w:noWrap w:val="false"/>
          </w:tcPr>
          <w:p>
            <w:pPr>
              <w:jc w:val="center"/>
              <w:widowControl/>
              <w:rPr>
                <w:rFonts w:ascii="宋体" w:hAnsi="宋体" w:cs="宋体"/>
                <w:b/>
                <w:bCs/>
              </w:rPr>
            </w:pPr>
            <w:r>
              <w:rPr>
                <w:rFonts w:hint="eastAsia" w:ascii="宋体" w:hAnsi="宋体" w:cs="宋体"/>
                <w:b/>
                <w:bCs/>
                <w:color w:val="000000"/>
                <w:szCs w:val="21"/>
                <w:lang w:bidi="ar"/>
              </w:rPr>
              <w:t xml:space="preserve">功能描述</w:t>
            </w:r>
            <w:r/>
          </w:p>
        </w:tc>
      </w:tr>
      <w:tr>
        <w:trPr/>
        <w:tc>
          <w:tcPr>
            <w:shd w:val="clear" w:color="auto" w:fill="auto"/>
            <w:tcW w:w="1992" w:type="dxa"/>
            <w:vAlign w:val="center"/>
            <w:textDirection w:val="lrTb"/>
            <w:noWrap w:val="false"/>
          </w:tcPr>
          <w:p>
            <w:pPr>
              <w:jc w:val="center"/>
              <w:widowControl/>
              <w:rPr>
                <w:rFonts w:ascii="宋体" w:hAnsi="宋体" w:cs="宋体"/>
              </w:rPr>
            </w:pPr>
            <w:r>
              <w:rPr>
                <w:rFonts w:hint="eastAsia" w:ascii="宋体" w:hAnsi="宋体" w:cs="宋体"/>
                <w:color w:val="000000"/>
                <w:szCs w:val="21"/>
                <w:lang w:bidi="ar"/>
              </w:rPr>
              <w:t xml:space="preserve">1</w:t>
            </w:r>
            <w:r/>
          </w:p>
        </w:tc>
        <w:tc>
          <w:tcPr>
            <w:shd w:val="clear" w:color="auto" w:fill="auto"/>
            <w:tcW w:w="1992" w:type="dxa"/>
            <w:vAlign w:val="center"/>
            <w:vMerge w:val="restart"/>
            <w:textDirection w:val="lrTb"/>
            <w:noWrap w:val="false"/>
          </w:tcPr>
          <w:p>
            <w:pPr>
              <w:jc w:val="center"/>
              <w:widowControl/>
              <w:rPr>
                <w:rFonts w:ascii="宋体" w:hAnsi="宋体" w:cs="宋体"/>
              </w:rPr>
            </w:pPr>
            <w:r>
              <w:rPr>
                <w:rFonts w:hint="eastAsia" w:ascii="宋体" w:hAnsi="宋体" w:cs="宋体"/>
                <w:color w:val="000000"/>
                <w:szCs w:val="21"/>
                <w:lang w:bidi="ar"/>
              </w:rPr>
              <w:t xml:space="preserve">公厕管理</w:t>
            </w:r>
            <w:r/>
          </w:p>
        </w:tc>
        <w:tc>
          <w:tcPr>
            <w:shd w:val="clear" w:color="auto" w:fill="auto"/>
            <w:tcW w:w="1992" w:type="dxa"/>
            <w:vAlign w:val="center"/>
            <w:vMerge w:val="restart"/>
            <w:textDirection w:val="lrTb"/>
            <w:noWrap w:val="false"/>
          </w:tcPr>
          <w:p>
            <w:pPr>
              <w:jc w:val="center"/>
              <w:widowControl/>
              <w:rPr>
                <w:rFonts w:ascii="宋体" w:hAnsi="宋体" w:cs="宋体"/>
              </w:rPr>
            </w:pPr>
            <w:r>
              <w:rPr>
                <w:rFonts w:hint="eastAsia" w:ascii="宋体" w:hAnsi="宋体" w:cs="宋体"/>
                <w:color w:val="000000"/>
                <w:szCs w:val="21"/>
                <w:lang w:bidi="ar"/>
              </w:rPr>
              <w:t xml:space="preserve">公厕数据展示</w:t>
            </w:r>
            <w:r/>
          </w:p>
        </w:tc>
        <w:tc>
          <w:tcPr>
            <w:shd w:val="clear" w:color="auto" w:fill="auto"/>
            <w:tcW w:w="3986" w:type="dxa"/>
            <w:vAlign w:val="center"/>
            <w:textDirection w:val="lrTb"/>
            <w:noWrap w:val="false"/>
          </w:tcPr>
          <w:p>
            <w:pPr>
              <w:pStyle w:val="848"/>
              <w:rPr>
                <w:rFonts w:ascii="Times New Roman" w:hAnsi="宋体" w:cs="宋体"/>
              </w:rPr>
            </w:pPr>
            <w:r>
              <w:rPr>
                <w:rFonts w:hint="eastAsia" w:ascii="宋体" w:hAnsi="宋体" w:cs="宋体"/>
                <w:color w:val="000000"/>
                <w:lang w:bidi="ar"/>
              </w:rPr>
              <w:t xml:space="preserve">人流量统计</w:t>
            </w:r>
            <w:r/>
          </w:p>
        </w:tc>
      </w:tr>
      <w:tr>
        <w:trPr/>
        <w:tc>
          <w:tcPr>
            <w:shd w:val="clear" w:color="auto" w:fill="auto"/>
            <w:tcW w:w="1992" w:type="dxa"/>
            <w:vAlign w:val="center"/>
            <w:textDirection w:val="lrTb"/>
            <w:noWrap w:val="false"/>
          </w:tcPr>
          <w:p>
            <w:pPr>
              <w:jc w:val="center"/>
              <w:widowControl/>
              <w:rPr>
                <w:rFonts w:ascii="宋体" w:hAnsi="宋体" w:cs="宋体"/>
              </w:rPr>
            </w:pPr>
            <w:r>
              <w:rPr>
                <w:rFonts w:hint="eastAsia" w:ascii="宋体" w:hAnsi="宋体" w:cs="宋体"/>
                <w:color w:val="000000"/>
                <w:szCs w:val="21"/>
                <w:lang w:bidi="ar"/>
              </w:rPr>
              <w:t xml:space="preserve">2</w:t>
            </w:r>
            <w:r/>
          </w:p>
        </w:tc>
        <w:tc>
          <w:tcPr>
            <w:shd w:val="clear" w:color="auto" w:fill="auto"/>
            <w:tcW w:w="1992"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W w:w="1992"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W w:w="3986" w:type="dxa"/>
            <w:vAlign w:val="center"/>
            <w:textDirection w:val="lrTb"/>
            <w:noWrap w:val="false"/>
          </w:tcPr>
          <w:p>
            <w:pPr>
              <w:pStyle w:val="848"/>
              <w:rPr>
                <w:rFonts w:ascii="Times New Roman" w:hAnsi="宋体" w:cs="宋体"/>
              </w:rPr>
            </w:pPr>
            <w:r>
              <w:rPr>
                <w:rFonts w:hint="eastAsia" w:ascii="宋体" w:hAnsi="宋体" w:cs="宋体"/>
                <w:color w:val="000000"/>
                <w:lang w:bidi="ar"/>
              </w:rPr>
              <w:t xml:space="preserve">公厕分类统计</w:t>
            </w:r>
            <w:r/>
          </w:p>
        </w:tc>
      </w:tr>
      <w:tr>
        <w:trPr/>
        <w:tc>
          <w:tcPr>
            <w:shd w:val="clear" w:color="auto" w:fill="auto"/>
            <w:tcW w:w="1992" w:type="dxa"/>
            <w:vAlign w:val="center"/>
            <w:textDirection w:val="lrTb"/>
            <w:noWrap w:val="false"/>
          </w:tcPr>
          <w:p>
            <w:pPr>
              <w:jc w:val="center"/>
              <w:widowControl/>
              <w:rPr>
                <w:rFonts w:ascii="宋体" w:hAnsi="宋体" w:cs="宋体"/>
              </w:rPr>
            </w:pPr>
            <w:r>
              <w:rPr>
                <w:rFonts w:hint="eastAsia" w:ascii="宋体" w:hAnsi="宋体" w:cs="宋体"/>
                <w:color w:val="000000"/>
                <w:szCs w:val="21"/>
                <w:lang w:bidi="ar"/>
              </w:rPr>
              <w:t xml:space="preserve">3</w:t>
            </w:r>
            <w:r/>
          </w:p>
        </w:tc>
        <w:tc>
          <w:tcPr>
            <w:shd w:val="clear" w:color="auto" w:fill="auto"/>
            <w:tcW w:w="1992"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W w:w="1992" w:type="dxa"/>
            <w:vAlign w:val="center"/>
            <w:textDirection w:val="lrTb"/>
            <w:noWrap w:val="false"/>
          </w:tcPr>
          <w:p>
            <w:pPr>
              <w:jc w:val="center"/>
              <w:widowControl/>
              <w:rPr>
                <w:rFonts w:ascii="宋体" w:hAnsi="宋体" w:cs="宋体"/>
              </w:rPr>
            </w:pPr>
            <w:r>
              <w:rPr>
                <w:rFonts w:hint="eastAsia" w:ascii="宋体" w:hAnsi="宋体" w:cs="宋体"/>
                <w:color w:val="000000"/>
                <w:szCs w:val="21"/>
                <w:lang w:bidi="ar"/>
              </w:rPr>
              <w:t xml:space="preserve">外部API接口对接</w:t>
            </w:r>
            <w:r/>
          </w:p>
        </w:tc>
        <w:tc>
          <w:tcPr>
            <w:shd w:val="clear" w:color="auto" w:fill="auto"/>
            <w:tcW w:w="3986" w:type="dxa"/>
            <w:vAlign w:val="center"/>
            <w:textDirection w:val="lrTb"/>
            <w:noWrap w:val="false"/>
          </w:tcPr>
          <w:p>
            <w:pPr>
              <w:pStyle w:val="848"/>
              <w:rPr>
                <w:rFonts w:ascii="Times New Roman" w:hAnsi="宋体" w:cs="宋体"/>
              </w:rPr>
            </w:pPr>
            <w:r>
              <w:rPr>
                <w:rFonts w:hint="eastAsia" w:ascii="宋体" w:hAnsi="宋体" w:cs="宋体"/>
                <w:color w:val="000000"/>
                <w:lang w:bidi="ar"/>
              </w:rPr>
              <w:t xml:space="preserve">公厕人流量外部接口对接</w:t>
            </w:r>
            <w:r/>
          </w:p>
        </w:tc>
      </w:tr>
    </w:tbl>
    <w:p>
      <w:pPr>
        <w:jc w:val="center"/>
        <w:spacing w:before="156" w:line="360" w:lineRule="auto"/>
        <w:rPr>
          <w:rFonts w:ascii="宋体" w:hAnsi="宋体" w:cs="宋体"/>
          <w:b/>
          <w:bCs/>
        </w:rPr>
      </w:pPr>
      <w:r>
        <w:rPr>
          <w:rFonts w:hint="eastAsia" w:ascii="宋体" w:hAnsi="宋体" w:cs="宋体"/>
          <w:b/>
          <w:bCs/>
          <w:color w:val="000000"/>
          <w:szCs w:val="21"/>
        </w:rPr>
        <w:t xml:space="preserve">（三）智慧内务（新北城管）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2"/>
        <w:gridCol w:w="1574"/>
        <w:gridCol w:w="2346"/>
        <w:gridCol w:w="5064"/>
      </w:tblGrid>
      <w:tr>
        <w:trPr/>
        <w:tc>
          <w:tcPr>
            <w:shd w:val="clear" w:color="auto" w:fill="auto"/>
            <w:tcW w:w="762"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szCs w:val="21"/>
              </w:rPr>
              <w:t xml:space="preserve">序号</w:t>
            </w:r>
            <w:r/>
          </w:p>
        </w:tc>
        <w:tc>
          <w:tcPr>
            <w:shd w:val="clear" w:color="auto" w:fill="auto"/>
            <w:tcW w:w="1602"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szCs w:val="21"/>
              </w:rPr>
              <w:t xml:space="preserve">模块名称</w:t>
            </w:r>
            <w:r/>
          </w:p>
        </w:tc>
        <w:tc>
          <w:tcPr>
            <w:shd w:val="clear" w:color="auto" w:fill="auto"/>
            <w:tcW w:w="2402"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szCs w:val="21"/>
              </w:rPr>
              <w:t xml:space="preserve">功能名称</w:t>
            </w:r>
            <w:r/>
          </w:p>
        </w:tc>
        <w:tc>
          <w:tcPr>
            <w:shd w:val="clear" w:color="auto" w:fill="auto"/>
            <w:tcW w:w="5194"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szCs w:val="21"/>
              </w:rPr>
              <w:t xml:space="preserve">功能描述</w:t>
            </w:r>
            <w:r/>
          </w:p>
        </w:tc>
      </w:tr>
      <w:tr>
        <w:trPr/>
        <w:tc>
          <w:tcPr>
            <w:shd w:val="clear" w:color="auto" w:fill="auto"/>
            <w:tcW w:w="762" w:type="dxa"/>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1</w:t>
            </w:r>
            <w:r/>
          </w:p>
        </w:tc>
        <w:tc>
          <w:tcPr>
            <w:shd w:val="clear" w:color="auto" w:fill="auto"/>
            <w:tcW w:w="1602"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智慧内务（新北城管）业务配置</w:t>
            </w:r>
            <w:r/>
          </w:p>
        </w:tc>
        <w:tc>
          <w:tcPr>
            <w:shd w:val="clear" w:color="auto" w:fill="auto"/>
            <w:tcW w:w="2402" w:type="dxa"/>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移动端</w:t>
            </w:r>
            <w:r/>
          </w:p>
        </w:tc>
        <w:tc>
          <w:tcPr>
            <w:shd w:val="clear" w:color="auto" w:fill="auto"/>
            <w:tcW w:w="5194" w:type="dxa"/>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标配钉钉</w:t>
            </w:r>
            <w:r>
              <w:rPr>
                <w:rFonts w:hint="eastAsia" w:ascii="宋体" w:hAnsi="宋体" w:cs="宋体"/>
                <w:color w:val="000000"/>
                <w:szCs w:val="21"/>
                <w:lang w:bidi="ar"/>
              </w:rPr>
              <w:t xml:space="preserve">,提供更丰富的工作台信息展现方式，深度集成钉钉，告别传统钉钉工作台的九宫格单调展现形式，按需划分各类应用。</w:t>
            </w:r>
            <w:r/>
          </w:p>
        </w:tc>
      </w:tr>
      <w:tr>
        <w:trPr/>
        <w:tc>
          <w:tcPr>
            <w:shd w:val="clear" w:color="auto" w:fill="auto"/>
            <w:tcW w:w="762" w:type="dxa"/>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2</w:t>
            </w:r>
            <w:r/>
          </w:p>
        </w:tc>
        <w:tc>
          <w:tcPr>
            <w:shd w:val="clear" w:color="auto" w:fill="auto"/>
            <w:tcW w:w="1602" w:type="dxa"/>
            <w:vAlign w:val="center"/>
            <w:vMerge w:val="continue"/>
            <w:textDirection w:val="lrTb"/>
            <w:noWrap w:val="false"/>
          </w:tcPr>
          <w:p>
            <w:pPr>
              <w:jc w:val="center"/>
              <w:rPr>
                <w:rFonts w:ascii="宋体" w:hAnsi="宋体" w:cs="宋体"/>
                <w:b/>
                <w:bCs/>
              </w:rPr>
            </w:pPr>
            <w:r>
              <w:rPr>
                <w:rFonts w:ascii="宋体" w:hAnsi="宋体" w:cs="宋体"/>
                <w:b/>
                <w:bCs/>
              </w:rPr>
            </w:r>
            <w:r/>
          </w:p>
        </w:tc>
        <w:tc>
          <w:tcPr>
            <w:shd w:val="clear" w:color="auto" w:fill="auto"/>
            <w:tcW w:w="2402" w:type="dxa"/>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流程管理</w:t>
            </w:r>
            <w:r/>
          </w:p>
        </w:tc>
        <w:tc>
          <w:tcPr>
            <w:shd w:val="clear" w:color="auto" w:fill="auto"/>
            <w:tcW w:w="5194" w:type="dxa"/>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新</w:t>
            </w:r>
            <w:r>
              <w:rPr>
                <w:rFonts w:hint="eastAsia" w:ascii="宋体" w:hAnsi="宋体" w:cs="宋体"/>
                <w:color w:val="000000"/>
                <w:szCs w:val="21"/>
                <w:lang w:bidi="ar"/>
              </w:rPr>
              <w:t xml:space="preserve">北业务</w:t>
            </w:r>
            <w:r>
              <w:rPr>
                <w:rFonts w:hint="eastAsia" w:ascii="宋体" w:hAnsi="宋体" w:cs="宋体"/>
                <w:color w:val="000000"/>
                <w:szCs w:val="21"/>
                <w:lang w:bidi="ar"/>
              </w:rPr>
              <w:t xml:space="preserve">流程配置、涵盖起草、审批、沟通、驳回、发布、实施反馈、废弃等全周期，快速实现管理的复制，提升组织决策力。</w:t>
            </w:r>
            <w:r/>
          </w:p>
        </w:tc>
      </w:tr>
      <w:tr>
        <w:trPr/>
        <w:tc>
          <w:tcPr>
            <w:shd w:val="clear" w:color="auto" w:fill="auto"/>
            <w:tcW w:w="762" w:type="dxa"/>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3</w:t>
            </w:r>
            <w:r/>
          </w:p>
        </w:tc>
        <w:tc>
          <w:tcPr>
            <w:shd w:val="clear" w:color="auto" w:fill="auto"/>
            <w:tcW w:w="1602" w:type="dxa"/>
            <w:vAlign w:val="center"/>
            <w:vMerge w:val="continue"/>
            <w:textDirection w:val="lrTb"/>
            <w:noWrap w:val="false"/>
          </w:tcPr>
          <w:p>
            <w:pPr>
              <w:jc w:val="center"/>
              <w:rPr>
                <w:rFonts w:ascii="宋体" w:hAnsi="宋体" w:cs="宋体"/>
                <w:b/>
                <w:bCs/>
              </w:rPr>
            </w:pPr>
            <w:r>
              <w:rPr>
                <w:rFonts w:ascii="宋体" w:hAnsi="宋体" w:cs="宋体"/>
                <w:b/>
                <w:bCs/>
              </w:rPr>
            </w:r>
            <w:r/>
          </w:p>
        </w:tc>
        <w:tc>
          <w:tcPr>
            <w:shd w:val="clear" w:color="auto" w:fill="auto"/>
            <w:tcW w:w="2402" w:type="dxa"/>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通知公告</w:t>
            </w:r>
            <w:r/>
          </w:p>
        </w:tc>
        <w:tc>
          <w:tcPr>
            <w:shd w:val="clear" w:color="auto" w:fill="auto"/>
            <w:tcW w:w="5194" w:type="dxa"/>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提供了公告模板设置、起草公告、打印、流程审批以及公告发布的全生命周期管理。</w:t>
            </w:r>
            <w:r/>
          </w:p>
        </w:tc>
      </w:tr>
      <w:tr>
        <w:trPr/>
        <w:tc>
          <w:tcPr>
            <w:shd w:val="clear" w:color="auto" w:fill="auto"/>
            <w:tcW w:w="762" w:type="dxa"/>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4</w:t>
            </w:r>
            <w:r/>
          </w:p>
        </w:tc>
        <w:tc>
          <w:tcPr>
            <w:shd w:val="clear" w:color="auto" w:fill="auto"/>
            <w:tcW w:w="1602" w:type="dxa"/>
            <w:vAlign w:val="center"/>
            <w:vMerge w:val="continue"/>
            <w:textDirection w:val="lrTb"/>
            <w:noWrap w:val="false"/>
          </w:tcPr>
          <w:p>
            <w:pPr>
              <w:jc w:val="center"/>
              <w:rPr>
                <w:rFonts w:ascii="宋体" w:hAnsi="宋体" w:cs="宋体"/>
                <w:b/>
                <w:bCs/>
              </w:rPr>
            </w:pPr>
            <w:r>
              <w:rPr>
                <w:rFonts w:ascii="宋体" w:hAnsi="宋体" w:cs="宋体"/>
                <w:b/>
                <w:bCs/>
              </w:rPr>
            </w:r>
            <w:r/>
          </w:p>
        </w:tc>
        <w:tc>
          <w:tcPr>
            <w:shd w:val="clear" w:color="auto" w:fill="auto"/>
            <w:tcW w:w="2402" w:type="dxa"/>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假勤管理</w:t>
            </w:r>
            <w:r/>
          </w:p>
        </w:tc>
        <w:tc>
          <w:tcPr>
            <w:shd w:val="clear" w:color="auto" w:fill="auto"/>
            <w:tcW w:w="5194" w:type="dxa"/>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假期管理功能包括请休假记录等流程配置管理。</w:t>
            </w:r>
            <w:r/>
          </w:p>
        </w:tc>
      </w:tr>
      <w:tr>
        <w:trPr/>
        <w:tc>
          <w:tcPr>
            <w:shd w:val="clear" w:color="auto" w:fill="auto"/>
            <w:tcW w:w="762" w:type="dxa"/>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5</w:t>
            </w:r>
            <w:r/>
          </w:p>
        </w:tc>
        <w:tc>
          <w:tcPr>
            <w:shd w:val="clear" w:color="auto" w:fill="auto"/>
            <w:tcW w:w="1602" w:type="dxa"/>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项目实施</w:t>
            </w:r>
            <w:r/>
          </w:p>
        </w:tc>
        <w:tc>
          <w:tcPr>
            <w:shd w:val="clear" w:color="auto" w:fill="auto"/>
            <w:tcW w:w="2402" w:type="dxa"/>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增加注册用户数</w:t>
            </w:r>
            <w:r/>
          </w:p>
        </w:tc>
        <w:tc>
          <w:tcPr>
            <w:shd w:val="clear" w:color="auto" w:fill="auto"/>
            <w:tcW w:w="5194" w:type="dxa"/>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可增加注册用户数，100以内</w:t>
            </w:r>
            <w:r/>
          </w:p>
        </w:tc>
      </w:tr>
    </w:tbl>
    <w:p>
      <w:pPr>
        <w:jc w:val="center"/>
        <w:spacing w:before="156" w:after="156"/>
        <w:widowControl/>
        <w:rPr>
          <w:rFonts w:ascii="宋体" w:hAnsi="宋体" w:cs="宋体"/>
          <w:b/>
          <w:bCs/>
          <w:color w:val="000000"/>
        </w:rPr>
      </w:pPr>
      <w:r>
        <w:rPr>
          <w:rFonts w:hint="eastAsia" w:ascii="宋体" w:hAnsi="宋体" w:cs="宋体"/>
          <w:b/>
          <w:bCs/>
          <w:color w:val="000000"/>
          <w:szCs w:val="21"/>
        </w:rPr>
        <w:t xml:space="preserve">（四）安全生产场景建设（新北城管）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7"/>
        <w:gridCol w:w="1609"/>
        <w:gridCol w:w="2331"/>
        <w:gridCol w:w="4184"/>
        <w:gridCol w:w="885"/>
      </w:tblGrid>
      <w:tr>
        <w:trPr>
          <w:trHeight w:val="250"/>
        </w:trPr>
        <w:tc>
          <w:tcPr>
            <w:shd w:val="clear" w:color="auto" w:fill="auto"/>
            <w:tcW w:w="737"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szCs w:val="21"/>
              </w:rPr>
              <w:t xml:space="preserve">序号</w:t>
            </w:r>
            <w:r/>
          </w:p>
        </w:tc>
        <w:tc>
          <w:tcPr>
            <w:shd w:val="clear" w:color="auto" w:fill="auto"/>
            <w:tcW w:w="16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szCs w:val="21"/>
              </w:rPr>
              <w:t xml:space="preserve">模块名称</w:t>
            </w:r>
            <w:r/>
          </w:p>
        </w:tc>
        <w:tc>
          <w:tcPr>
            <w:shd w:val="clear" w:color="auto" w:fill="auto"/>
            <w:tcW w:w="2384"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szCs w:val="21"/>
              </w:rPr>
              <w:t xml:space="preserve">功能名称</w:t>
            </w:r>
            <w:r/>
          </w:p>
        </w:tc>
        <w:tc>
          <w:tcPr>
            <w:shd w:val="clear" w:color="auto" w:fill="auto"/>
            <w:tcW w:w="4295"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szCs w:val="21"/>
              </w:rPr>
              <w:t xml:space="preserve">功能描述</w:t>
            </w:r>
            <w:r/>
          </w:p>
        </w:tc>
        <w:tc>
          <w:tcPr>
            <w:shd w:val="clear" w:color="auto" w:fill="auto"/>
            <w:tcW w:w="89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szCs w:val="21"/>
              </w:rPr>
              <w:t xml:space="preserve">数量</w:t>
            </w:r>
            <w:r/>
          </w:p>
        </w:tc>
      </w:tr>
      <w:tr>
        <w:trPr/>
        <w:tc>
          <w:tcPr>
            <w:shd w:val="clear" w:color="auto" w:fill="auto"/>
            <w:tcW w:w="737" w:type="dxa"/>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1</w:t>
            </w:r>
            <w:r/>
          </w:p>
        </w:tc>
        <w:tc>
          <w:tcPr>
            <w:shd w:val="clear" w:color="auto" w:fill="auto"/>
            <w:tcW w:w="1646" w:type="dxa"/>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安全生产场景应用</w:t>
            </w:r>
            <w:r/>
          </w:p>
        </w:tc>
        <w:tc>
          <w:tcPr>
            <w:shd w:val="clear" w:color="auto" w:fill="auto"/>
            <w:tcW w:w="2384" w:type="dxa"/>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基于物联传感</w:t>
            </w:r>
            <w:r>
              <w:rPr>
                <w:rFonts w:hint="eastAsia" w:ascii="宋体" w:hAnsi="宋体" w:cs="宋体"/>
                <w:color w:val="000000"/>
                <w:szCs w:val="21"/>
                <w:lang w:bidi="ar"/>
              </w:rPr>
              <w:t xml:space="preserve">设备，对新北区范围内户外广告牌（高炮）进行监控，实时监测广告设施安全状态。</w:t>
            </w:r>
            <w:r/>
          </w:p>
        </w:tc>
        <w:tc>
          <w:tcPr>
            <w:shd w:val="clear" w:color="auto" w:fill="auto"/>
            <w:tcW w:w="4295" w:type="dxa"/>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为新北区管辖范围内户外广告（高炮）</w:t>
            </w:r>
            <w:r>
              <w:rPr>
                <w:rFonts w:hint="eastAsia" w:ascii="宋体" w:hAnsi="宋体" w:cs="宋体"/>
                <w:color w:val="000000"/>
                <w:szCs w:val="21"/>
                <w:lang w:bidi="ar"/>
              </w:rPr>
              <w:t xml:space="preserve">配套物联传感</w:t>
            </w:r>
            <w:r>
              <w:rPr>
                <w:rFonts w:hint="eastAsia" w:ascii="宋体" w:hAnsi="宋体" w:cs="宋体"/>
                <w:color w:val="000000"/>
                <w:szCs w:val="21"/>
                <w:lang w:bidi="ar"/>
              </w:rPr>
              <w:t xml:space="preserve">监测设备</w:t>
            </w:r>
            <w:r>
              <w:rPr>
                <w:rFonts w:hint="eastAsia" w:ascii="宋体" w:hAnsi="宋体" w:cs="宋体"/>
                <w:szCs w:val="21"/>
                <w:lang w:bidi="ar"/>
              </w:rPr>
              <w:t xml:space="preserve">接入系统，安装并进行数据集成和传输；实时监测广告牌安全状况，并</w:t>
            </w:r>
            <w:r>
              <w:rPr>
                <w:rFonts w:hint="eastAsia" w:ascii="宋体" w:hAnsi="宋体" w:cs="宋体"/>
                <w:szCs w:val="21"/>
                <w:lang w:bidi="ar"/>
              </w:rPr>
              <w:t xml:space="preserve">进行维保三年</w:t>
            </w:r>
            <w:r>
              <w:rPr>
                <w:rFonts w:hint="eastAsia" w:ascii="宋体" w:hAnsi="宋体" w:cs="宋体"/>
                <w:szCs w:val="21"/>
                <w:lang w:bidi="ar"/>
              </w:rPr>
              <w:t xml:space="preserve">。</w:t>
            </w:r>
            <w:r/>
          </w:p>
        </w:tc>
        <w:tc>
          <w:tcPr>
            <w:shd w:val="clear" w:color="auto" w:fill="auto"/>
            <w:tcW w:w="899" w:type="dxa"/>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39</w:t>
            </w:r>
            <w:r/>
          </w:p>
        </w:tc>
      </w:tr>
    </w:tbl>
    <w:p>
      <w:pPr>
        <w:contextualSpacing/>
        <w:ind w:firstLine="482"/>
        <w:spacing w:line="570" w:lineRule="exact"/>
        <w:rPr>
          <w:rFonts w:ascii="宋体" w:hAnsi="宋体"/>
          <w:b/>
          <w:sz w:val="24"/>
        </w:rPr>
      </w:pPr>
      <w:r>
        <w:rPr>
          <w:rFonts w:hint="eastAsia" w:ascii="宋体" w:hAnsi="宋体"/>
          <w:b/>
          <w:sz w:val="24"/>
        </w:rPr>
        <w:t xml:space="preserve">2</w:t>
      </w:r>
      <w:r>
        <w:rPr>
          <w:rFonts w:ascii="宋体" w:hAnsi="宋体"/>
          <w:b/>
          <w:sz w:val="24"/>
        </w:rPr>
        <w:t xml:space="preserve">.2</w:t>
      </w:r>
      <w:r>
        <w:rPr>
          <w:rFonts w:hint="eastAsia" w:ascii="宋体" w:hAnsi="宋体"/>
          <w:b/>
          <w:sz w:val="24"/>
        </w:rPr>
        <w:t xml:space="preserve">质量及服务要求</w:t>
      </w:r>
      <w:r/>
    </w:p>
    <w:p>
      <w:pPr>
        <w:contextualSpacing/>
        <w:ind w:firstLine="480"/>
        <w:spacing w:line="570" w:lineRule="exact"/>
        <w:rPr>
          <w:rFonts w:ascii="宋体" w:hAnsi="宋体"/>
          <w:sz w:val="24"/>
        </w:rPr>
      </w:pPr>
      <w:r>
        <w:rPr>
          <w:rFonts w:hint="eastAsia" w:ascii="宋体" w:hAnsi="宋体"/>
          <w:sz w:val="24"/>
        </w:rPr>
        <w:t xml:space="preserve">（1）投标人需根据采购内容与清单要求，对平台系统参数、功能在《商务、技术要求响应及偏离表》中一一列出，详细标明响应情况，否则视为负偏离处理。</w:t>
      </w:r>
      <w:r/>
    </w:p>
    <w:p>
      <w:pPr>
        <w:contextualSpacing/>
        <w:ind w:firstLine="480"/>
        <w:spacing w:line="570" w:lineRule="exact"/>
        <w:rPr>
          <w:rFonts w:ascii="宋体" w:hAnsi="宋体"/>
          <w:sz w:val="24"/>
        </w:rPr>
      </w:pPr>
      <w:r>
        <w:rPr>
          <w:rFonts w:hint="eastAsia" w:ascii="宋体" w:hAnsi="宋体"/>
          <w:sz w:val="24"/>
        </w:rPr>
        <w:t xml:space="preserve">（2）本平台建设需为正版软件系统，符合招标文件规定的采购要求，达到国家、省或行业规定的标准。实行生产许可制度的，应提供生产许可证；属于国家强制认证的产品，必须通过认证。</w:t>
      </w:r>
      <w:r/>
    </w:p>
    <w:p>
      <w:pPr>
        <w:contextualSpacing/>
        <w:ind w:firstLine="480"/>
        <w:spacing w:line="570" w:lineRule="exact"/>
        <w:rPr>
          <w:rFonts w:ascii="宋体" w:hAnsi="宋体"/>
          <w:sz w:val="24"/>
        </w:rPr>
      </w:pPr>
      <w:r>
        <w:rPr>
          <w:rFonts w:hint="eastAsia" w:ascii="宋体" w:hAnsi="宋体"/>
          <w:sz w:val="24"/>
        </w:rPr>
        <w:t xml:space="preserve">（3）投标人提供的相关系统需与相关设备、系统平台完全兼容，灵活操作。</w:t>
      </w:r>
      <w:r/>
    </w:p>
    <w:p>
      <w:pPr>
        <w:contextualSpacing/>
        <w:ind w:firstLine="480"/>
        <w:spacing w:line="570" w:lineRule="exact"/>
        <w:rPr>
          <w:rFonts w:ascii="宋体" w:hAnsi="宋体"/>
          <w:sz w:val="24"/>
        </w:rPr>
      </w:pPr>
      <w:r>
        <w:rPr>
          <w:rFonts w:hint="eastAsia" w:ascii="宋体" w:hAnsi="宋体"/>
          <w:sz w:val="24"/>
        </w:rPr>
        <w:t xml:space="preserve">（4）本次平台建设要求不侵犯任何第三方的专利、商标或版权。否则，投标人须承担对第三方的专利或版权的侵权责任并承担因此而发生的所有费用。</w:t>
      </w:r>
      <w:r/>
    </w:p>
    <w:p>
      <w:pPr>
        <w:contextualSpacing/>
        <w:ind w:firstLine="480"/>
        <w:spacing w:line="570" w:lineRule="exact"/>
        <w:rPr>
          <w:rFonts w:ascii="宋体" w:hAnsi="宋体"/>
          <w:sz w:val="24"/>
        </w:rPr>
      </w:pPr>
      <w:r>
        <w:rPr>
          <w:rFonts w:hint="eastAsia" w:ascii="宋体" w:hAnsi="宋体"/>
          <w:sz w:val="24"/>
        </w:rPr>
        <w:t xml:space="preserve">（5）平台建设过程中，各环节需配合审计部门进行全过程审计跟踪。</w:t>
      </w:r>
      <w:r/>
    </w:p>
    <w:p>
      <w:pPr>
        <w:contextualSpacing/>
        <w:ind w:firstLine="480"/>
        <w:spacing w:line="570" w:lineRule="exact"/>
        <w:rPr>
          <w:rFonts w:ascii="宋体" w:hAnsi="宋体"/>
          <w:sz w:val="24"/>
        </w:rPr>
      </w:pPr>
      <w:r>
        <w:rPr>
          <w:rFonts w:hint="eastAsia" w:ascii="宋体" w:hAnsi="宋体"/>
          <w:sz w:val="24"/>
        </w:rPr>
        <w:t xml:space="preserve">（6）本项目实施团队人员配置应包括项目经理、技术负责人、技术人员、实施人员、运维人员、售后服务人员、售后负责人等角色。系统、软件的安装进行必须征得采购人的同意后方可实施，安装完成后需协同采购人做好平台检测与验收。</w:t>
      </w:r>
      <w:r/>
    </w:p>
    <w:p>
      <w:pPr>
        <w:contextualSpacing/>
        <w:ind w:firstLine="480"/>
        <w:spacing w:line="570" w:lineRule="exact"/>
        <w:rPr>
          <w:rFonts w:ascii="宋体" w:hAnsi="宋体"/>
          <w:sz w:val="24"/>
        </w:rPr>
      </w:pPr>
      <w:r>
        <w:rPr>
          <w:rFonts w:hint="eastAsia" w:ascii="宋体" w:hAnsi="宋体"/>
          <w:sz w:val="24"/>
        </w:rPr>
        <w:t xml:space="preserve">（7） 易维护性：软件系统维护及更新升级不影响业务工作的正常开展。</w:t>
      </w:r>
      <w:r/>
    </w:p>
    <w:p>
      <w:pPr>
        <w:contextualSpacing/>
        <w:ind w:firstLine="480"/>
        <w:spacing w:line="570" w:lineRule="exact"/>
        <w:rPr>
          <w:rFonts w:ascii="宋体" w:hAnsi="宋体"/>
          <w:sz w:val="24"/>
        </w:rPr>
      </w:pPr>
      <w:r>
        <w:rPr>
          <w:rFonts w:hint="eastAsia" w:ascii="宋体" w:hAnsi="宋体"/>
          <w:sz w:val="24"/>
        </w:rPr>
        <w:t xml:space="preserve">（8）高容错性：及时捕捉系统在运行时的错误信息，并给出相应的提示，生成系统错误日志。</w:t>
      </w:r>
      <w:r/>
    </w:p>
    <w:p>
      <w:pPr>
        <w:contextualSpacing/>
        <w:ind w:firstLine="480"/>
        <w:spacing w:line="570" w:lineRule="exact"/>
        <w:rPr>
          <w:rFonts w:ascii="宋体" w:hAnsi="宋体"/>
          <w:sz w:val="24"/>
        </w:rPr>
      </w:pPr>
      <w:r>
        <w:rPr>
          <w:rFonts w:hint="eastAsia" w:ascii="宋体" w:hAnsi="宋体"/>
          <w:sz w:val="24"/>
        </w:rPr>
        <w:t xml:space="preserve">（9）系统需具备防病毒、黑客入侵监测和预警、漏洞扫描、网络监测与自动修复、身份认证等功能。</w:t>
      </w:r>
      <w:r/>
    </w:p>
    <w:p>
      <w:pPr>
        <w:contextualSpacing/>
        <w:ind w:firstLine="480"/>
        <w:spacing w:line="570" w:lineRule="exact"/>
        <w:rPr>
          <w:rFonts w:ascii="宋体" w:hAnsi="宋体"/>
          <w:sz w:val="24"/>
        </w:rPr>
      </w:pPr>
      <w:r>
        <w:rPr>
          <w:rFonts w:hint="eastAsia" w:ascii="宋体" w:hAnsi="宋体"/>
          <w:sz w:val="24"/>
        </w:rPr>
        <w:t xml:space="preserve">（</w:t>
      </w:r>
      <w:r>
        <w:rPr>
          <w:rFonts w:ascii="宋体" w:hAnsi="宋体"/>
          <w:sz w:val="24"/>
        </w:rPr>
        <w:t xml:space="preserve">10</w:t>
      </w:r>
      <w:r>
        <w:rPr>
          <w:rFonts w:hint="eastAsia" w:ascii="宋体" w:hAnsi="宋体"/>
          <w:sz w:val="24"/>
        </w:rPr>
        <w:t xml:space="preserve">） 系统需具备完善的使用授权、监控和日志管理机制，能够访问进行审计。</w:t>
      </w:r>
      <w:r/>
    </w:p>
    <w:p>
      <w:pPr>
        <w:contextualSpacing/>
        <w:ind w:firstLine="480"/>
        <w:spacing w:line="570" w:lineRule="exact"/>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）系统需提供相应数据备份/恢复功能，制定合理的备份策略提供保护机制。</w:t>
      </w:r>
      <w:r/>
    </w:p>
    <w:p>
      <w:pPr>
        <w:contextualSpacing/>
        <w:ind w:firstLine="480"/>
        <w:spacing w:line="57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）系统需具备完善的安全管理和安全服务体系。</w:t>
      </w:r>
      <w:r/>
    </w:p>
    <w:p>
      <w:pPr>
        <w:pStyle w:val="938"/>
        <w:spacing w:line="570" w:lineRule="exact"/>
        <w:rPr>
          <w:rFonts w:ascii="宋体" w:hAnsi="宋体"/>
          <w:b/>
          <w:lang w:eastAsia="zh-CN"/>
        </w:rPr>
      </w:pPr>
      <w:r>
        <w:rPr>
          <w:rFonts w:hint="eastAsia" w:ascii="宋体" w:hAnsi="宋体"/>
          <w:b/>
          <w:lang w:eastAsia="zh-CN"/>
        </w:rPr>
        <w:t xml:space="preserve">2</w:t>
      </w:r>
      <w:r>
        <w:rPr>
          <w:rFonts w:ascii="宋体" w:hAnsi="宋体"/>
          <w:b/>
          <w:lang w:eastAsia="zh-CN"/>
        </w:rPr>
        <w:t xml:space="preserve">.3</w:t>
      </w:r>
      <w:r>
        <w:rPr>
          <w:rFonts w:hint="eastAsia" w:ascii="宋体" w:hAnsi="宋体"/>
          <w:b/>
          <w:lang w:eastAsia="zh-CN"/>
        </w:rPr>
        <w:t xml:space="preserve">培训要求</w:t>
      </w:r>
      <w:r/>
    </w:p>
    <w:p>
      <w:pPr>
        <w:pStyle w:val="938"/>
        <w:ind w:left="0" w:firstLine="480"/>
        <w:spacing w:line="570" w:lineRule="exact"/>
        <w:rPr>
          <w:rFonts w:ascii="宋体" w:hAnsi="宋体"/>
          <w:b/>
          <w:lang w:eastAsia="zh-CN"/>
        </w:rPr>
      </w:pPr>
      <w:r>
        <w:rPr>
          <w:rFonts w:hint="eastAsia" w:ascii="宋体" w:hAnsi="宋体"/>
          <w:lang w:eastAsia="zh-CN"/>
        </w:rPr>
        <w:t xml:space="preserve">（1）中标单位须对本次产品应用相关的采购人及其相关用户进行基础操作培训，并提供详细操作手册等技术资料和培训资料，配合采购人解决培训场地。</w:t>
      </w:r>
      <w:r/>
    </w:p>
    <w:p>
      <w:pPr>
        <w:pStyle w:val="938"/>
        <w:ind w:left="0" w:firstLine="480"/>
        <w:spacing w:line="570" w:lineRule="exact"/>
        <w:rPr>
          <w:rFonts w:ascii="宋体" w:hAnsi="宋体"/>
          <w:lang w:eastAsia="zh-CN"/>
        </w:rPr>
      </w:pPr>
      <w:r>
        <w:rPr>
          <w:rFonts w:hint="eastAsia" w:ascii="宋体" w:hAnsi="宋体"/>
          <w:lang w:eastAsia="zh-CN"/>
        </w:rPr>
        <w:t xml:space="preserve">（2）中标单位应及时组织采购人的相关人员参加现场培训，培训目标为受训者能够独立、熟练地完成操作，实现依据招标文件的设备、软件目标和功能应用。培训次数、规模及场所由采购人视具体情况而定。</w:t>
      </w:r>
      <w:r/>
    </w:p>
    <w:p>
      <w:pPr>
        <w:contextualSpacing/>
        <w:ind w:firstLine="632"/>
        <w:spacing w:line="570" w:lineRule="exact"/>
        <w:rPr>
          <w:rFonts w:ascii="宋体" w:hAnsi="宋体"/>
          <w:b/>
          <w:sz w:val="24"/>
        </w:rPr>
      </w:pPr>
      <w:r>
        <w:rPr>
          <w:rFonts w:hint="eastAsia" w:ascii="宋体" w:hAnsi="宋体"/>
          <w:b/>
        </w:rPr>
        <w:t xml:space="preserve">2</w:t>
      </w:r>
      <w:r>
        <w:rPr>
          <w:rFonts w:ascii="宋体" w:hAnsi="宋体"/>
          <w:b/>
        </w:rPr>
        <w:t xml:space="preserve">.4</w:t>
      </w:r>
      <w:r>
        <w:rPr>
          <w:rFonts w:hint="eastAsia" w:ascii="宋体" w:hAnsi="宋体"/>
          <w:b/>
          <w:sz w:val="24"/>
        </w:rPr>
        <w:t xml:space="preserve">报价要求</w:t>
      </w:r>
      <w:r/>
    </w:p>
    <w:p>
      <w:pPr>
        <w:contextualSpacing/>
        <w:ind w:firstLine="480"/>
        <w:spacing w:line="570" w:lineRule="exact"/>
        <w:rPr>
          <w:rFonts w:ascii="宋体" w:hAnsi="宋体"/>
        </w:rPr>
      </w:pPr>
      <w:r>
        <w:rPr>
          <w:rFonts w:hint="eastAsia" w:ascii="宋体" w:hAnsi="宋体"/>
          <w:sz w:val="24"/>
        </w:rPr>
        <w:t xml:space="preserve">本项目为固定总价包干制。报价应包括软件定制费用，包括从信息化项目立项完成到项目验收之间的需求分析、设计、编码、集成、测试、安装、验收活动及相关的项目管理、支持活动、税金、保险、培训费、技术服务、售后服务及保修等一切费用。软件开发费用包括软件过程中开发方的所有直接成本、间接成本和毛利润，不包括软件预研或可行性分析、数据迁移、软件维护等成本。（直接成本包括直接人力成本和直接非人力成本。间接成本包括间接人力成本和间接非人力成本）。后期中标单位不得以任何形式向采购人收取关于本项目的其他任何费用。</w:t>
      </w:r>
      <w:r/>
    </w:p>
    <w:p>
      <w:pPr>
        <w:contextualSpacing/>
        <w:ind w:firstLine="482"/>
        <w:spacing w:line="570" w:lineRule="exact"/>
        <w:rPr>
          <w:rFonts w:ascii="宋体" w:hAnsi="宋体"/>
          <w:b/>
          <w:sz w:val="24"/>
        </w:rPr>
      </w:pPr>
      <w:r>
        <w:rPr>
          <w:rFonts w:ascii="宋体" w:hAnsi="宋体"/>
          <w:b/>
          <w:sz w:val="24"/>
        </w:rPr>
      </w:r>
      <w:r/>
    </w:p>
    <w:p>
      <w:pPr>
        <w:contextualSpacing/>
        <w:ind w:firstLine="482"/>
        <w:spacing w:line="570" w:lineRule="exact"/>
        <w:rPr>
          <w:rFonts w:ascii="宋体" w:hAnsi="宋体"/>
          <w:b/>
          <w:i/>
          <w:iCs/>
          <w:sz w:val="24"/>
        </w:rPr>
      </w:pPr>
      <w:r>
        <w:rPr>
          <w:rFonts w:hint="eastAsia" w:ascii="宋体" w:hAnsi="宋体"/>
          <w:b/>
          <w:sz w:val="24"/>
        </w:rPr>
        <w:t xml:space="preserve">3. 验收标准</w:t>
      </w:r>
      <w:r/>
    </w:p>
    <w:p>
      <w:pPr>
        <w:ind w:firstLine="480"/>
        <w:spacing w:line="570" w:lineRule="exact"/>
        <w:rPr>
          <w:rFonts w:ascii="宋体" w:hAnsi="宋体"/>
          <w:sz w:val="24"/>
        </w:rPr>
      </w:pPr>
      <w:r>
        <w:rPr>
          <w:rFonts w:hint="eastAsia" w:ascii="宋体" w:hAnsi="宋体"/>
          <w:sz w:val="24"/>
        </w:rPr>
        <w:t xml:space="preserve">采购人根据国家有关规定、招标文件、中标单位的投标文件以及合同约定的内容和验收标准进行验收。投标人必须向采购人提供本项目采购的平台的建设、安装和维护服务的全部内容，并在需要的时候配合使用单位完成整个系统的网络联调工作，并通过最终审计。具体要求如下:</w:t>
      </w:r>
      <w:r/>
    </w:p>
    <w:p>
      <w:pPr>
        <w:ind w:firstLine="480"/>
        <w:spacing w:line="570" w:lineRule="exact"/>
        <w:rPr>
          <w:rFonts w:ascii="宋体" w:hAnsi="宋体"/>
          <w:sz w:val="24"/>
        </w:rPr>
      </w:pPr>
      <w:r>
        <w:rPr>
          <w:rFonts w:hint="eastAsia" w:ascii="宋体" w:hAnsi="宋体"/>
          <w:sz w:val="24"/>
        </w:rPr>
        <w:t xml:space="preserve">（1）</w:t>
      </w:r>
      <w:r>
        <w:rPr>
          <w:rFonts w:ascii="宋体" w:hAnsi="宋体"/>
          <w:sz w:val="24"/>
        </w:rPr>
        <w:t xml:space="preserve"> </w:t>
      </w:r>
      <w:r>
        <w:rPr>
          <w:rFonts w:hint="eastAsia" w:ascii="宋体" w:hAnsi="宋体"/>
          <w:sz w:val="24"/>
        </w:rPr>
        <w:t xml:space="preserve">该项目平台上线前，中标单位需协同采购人做好平台开发、设计方案对接工作，以及全部系统的安装、测试和联网调试工作。</w:t>
      </w:r>
      <w:r/>
    </w:p>
    <w:p>
      <w:pPr>
        <w:ind w:firstLine="480"/>
        <w:spacing w:line="570" w:lineRule="exact"/>
        <w:rPr>
          <w:rFonts w:ascii="宋体" w:hAnsi="宋体"/>
          <w:sz w:val="24"/>
        </w:rPr>
      </w:pPr>
      <w:r>
        <w:rPr>
          <w:rFonts w:hint="eastAsia" w:ascii="宋体" w:hAnsi="宋体"/>
          <w:sz w:val="24"/>
        </w:rPr>
        <w:t xml:space="preserve">（2）项目完成后，由采购人组织验收，中标单位提供该项目相关服务承诺函。</w:t>
      </w:r>
      <w:r/>
    </w:p>
    <w:p>
      <w:pPr>
        <w:ind w:firstLine="480"/>
        <w:spacing w:line="570" w:lineRule="exact"/>
        <w:rPr>
          <w:rFonts w:ascii="宋体" w:hAnsi="宋体"/>
          <w:sz w:val="24"/>
        </w:rPr>
      </w:pPr>
      <w:r>
        <w:rPr>
          <w:rFonts w:hint="eastAsia" w:ascii="宋体" w:hAnsi="宋体"/>
          <w:sz w:val="24"/>
        </w:rPr>
        <w:t xml:space="preserve">（3）投标人必须响应并提出验收方案和验收文档清单。</w:t>
      </w:r>
      <w:r/>
    </w:p>
    <w:p>
      <w:pPr>
        <w:contextualSpacing/>
        <w:ind w:firstLine="480"/>
        <w:spacing w:line="570" w:lineRule="exact"/>
        <w:rPr>
          <w:rFonts w:ascii="宋体" w:hAnsi="宋体"/>
          <w:b/>
          <w:sz w:val="24"/>
        </w:rPr>
      </w:pPr>
      <w:r>
        <w:rPr>
          <w:rFonts w:hint="eastAsia" w:ascii="宋体" w:hAnsi="宋体"/>
          <w:sz w:val="24"/>
        </w:rPr>
        <w:t xml:space="preserve">（4）</w:t>
      </w:r>
      <w:r>
        <w:rPr>
          <w:rFonts w:ascii="宋体" w:hAnsi="宋体"/>
          <w:sz w:val="24"/>
        </w:rPr>
        <w:t xml:space="preserve"> </w:t>
      </w:r>
      <w:r>
        <w:rPr>
          <w:rFonts w:hint="eastAsia" w:ascii="宋体" w:hAnsi="宋体"/>
          <w:sz w:val="24"/>
        </w:rPr>
        <w:t xml:space="preserve">若本项目系统平台的配置或要求中出现不合理或不完整的问题时，投标人有责任和</w:t>
      </w:r>
      <w:r>
        <w:rPr>
          <w:rFonts w:hint="eastAsia" w:ascii="宋体" w:hAnsi="宋体"/>
          <w:sz w:val="24"/>
        </w:rPr>
        <w:t xml:space="preserve">义务在投标文件中提出补充修改方案并征得采购人同意后付诸实施。</w:t>
      </w:r>
      <w:r/>
    </w:p>
    <w:p>
      <w:pPr>
        <w:contextualSpacing/>
        <w:ind w:firstLine="482"/>
        <w:spacing w:line="570" w:lineRule="exact"/>
        <w:rPr>
          <w:rFonts w:ascii="宋体" w:hAnsi="宋体"/>
          <w:b/>
          <w:sz w:val="24"/>
        </w:rPr>
      </w:pPr>
      <w:r>
        <w:rPr>
          <w:rFonts w:ascii="宋体" w:hAnsi="宋体"/>
          <w:b/>
          <w:sz w:val="24"/>
        </w:rPr>
      </w:r>
      <w:r/>
    </w:p>
    <w:p>
      <w:pPr>
        <w:contextualSpacing/>
        <w:ind w:firstLine="482"/>
        <w:spacing w:line="570" w:lineRule="exact"/>
        <w:rPr>
          <w:rFonts w:ascii="宋体" w:hAnsi="宋体"/>
          <w:b/>
          <w:sz w:val="24"/>
        </w:rPr>
      </w:pPr>
      <w:r>
        <w:rPr>
          <w:rFonts w:hint="eastAsia" w:ascii="宋体" w:hAnsi="宋体"/>
          <w:b/>
          <w:sz w:val="24"/>
        </w:rPr>
        <w:t xml:space="preserve">4. 其他要求</w:t>
      </w:r>
      <w:r/>
    </w:p>
    <w:p>
      <w:pPr>
        <w:contextualSpacing/>
        <w:ind w:firstLine="480"/>
        <w:spacing w:line="570" w:lineRule="exact"/>
        <w:rPr>
          <w:rFonts w:ascii="宋体" w:hAnsi="宋体"/>
          <w:b/>
          <w:sz w:val="24"/>
          <w:szCs w:val="24"/>
        </w:rPr>
      </w:pPr>
      <w:r>
        <w:rPr>
          <w:rFonts w:hint="eastAsia" w:ascii="宋体" w:hAnsi="宋体"/>
          <w:sz w:val="24"/>
          <w:szCs w:val="24"/>
        </w:rPr>
        <w:t xml:space="preserve">本项目属于政务信息系统项目，其采购需求还应当符合《政务信息系统政府采购管理暂行办法》（财库〔2017〕210号）的相关要求。</w:t>
      </w:r>
      <w:r/>
    </w:p>
    <w:p>
      <w:pPr>
        <w:ind w:firstLine="480"/>
        <w:spacing w:line="570" w:lineRule="exact"/>
        <w:rPr>
          <w:rFonts w:ascii="宋体" w:hAnsi="宋体"/>
          <w:sz w:val="24"/>
        </w:rPr>
      </w:pPr>
      <w:r>
        <w:rPr>
          <w:rFonts w:ascii="宋体" w:hAnsi="宋体"/>
          <w:sz w:val="24"/>
          <w:szCs w:val="24"/>
        </w:rPr>
        <w:t xml:space="preserve">4.</w:t>
      </w:r>
      <w:r>
        <w:rPr>
          <w:rFonts w:hint="eastAsia" w:ascii="宋体" w:hAnsi="宋体"/>
          <w:sz w:val="24"/>
          <w:szCs w:val="24"/>
        </w:rPr>
        <w:t xml:space="preserve">1</w:t>
      </w:r>
      <w:r>
        <w:rPr>
          <w:rFonts w:ascii="宋体" w:hAnsi="宋体"/>
          <w:sz w:val="24"/>
          <w:szCs w:val="24"/>
        </w:rPr>
        <w:t xml:space="preserve"> </w:t>
      </w:r>
      <w:r>
        <w:rPr>
          <w:rFonts w:hint="eastAsia" w:ascii="宋体" w:hAnsi="宋体"/>
          <w:sz w:val="24"/>
          <w:szCs w:val="24"/>
        </w:rPr>
        <w:t xml:space="preserve">本次平台建设需与常州市城市运行管理服</w:t>
      </w:r>
      <w:r>
        <w:rPr>
          <w:rFonts w:hint="eastAsia" w:ascii="宋体" w:hAnsi="宋体"/>
          <w:sz w:val="24"/>
        </w:rPr>
        <w:t xml:space="preserve">务平台实现统一权限，单点登入。</w:t>
      </w:r>
      <w:r/>
    </w:p>
    <w:p>
      <w:pPr>
        <w:ind w:firstLine="480"/>
        <w:spacing w:line="570" w:lineRule="exact"/>
        <w:rPr>
          <w:rFonts w:ascii="宋体" w:hAnsi="宋体"/>
          <w:sz w:val="24"/>
        </w:rPr>
      </w:pPr>
      <w:r>
        <w:rPr>
          <w:rFonts w:ascii="宋体" w:hAnsi="宋体"/>
          <w:sz w:val="24"/>
        </w:rPr>
        <w:t xml:space="preserve">4.</w:t>
      </w:r>
      <w:r>
        <w:rPr>
          <w:rFonts w:hint="eastAsia" w:ascii="宋体" w:hAnsi="宋体"/>
          <w:sz w:val="24"/>
        </w:rPr>
        <w:t xml:space="preserve">2</w:t>
      </w:r>
      <w:r>
        <w:rPr>
          <w:rFonts w:ascii="宋体" w:hAnsi="宋体"/>
          <w:sz w:val="24"/>
        </w:rPr>
        <w:t xml:space="preserve"> </w:t>
      </w:r>
      <w:r>
        <w:rPr>
          <w:rFonts w:hint="eastAsia" w:ascii="宋体" w:hAnsi="宋体"/>
          <w:sz w:val="24"/>
        </w:rPr>
        <w:t xml:space="preserve">平台数据需要与新北区城运平台实现共享。</w:t>
      </w:r>
      <w:r/>
    </w:p>
    <w:p>
      <w:pPr>
        <w:ind w:firstLine="480"/>
        <w:spacing w:line="570" w:lineRule="exact"/>
        <w:rPr>
          <w:rFonts w:ascii="宋体" w:hAnsi="宋体"/>
          <w:sz w:val="24"/>
        </w:rPr>
      </w:pPr>
      <w:r>
        <w:rPr>
          <w:rFonts w:hint="eastAsia" w:ascii="宋体" w:hAnsi="宋体"/>
          <w:sz w:val="24"/>
        </w:rPr>
        <w:t xml:space="preserve">4.3部署于常州市电子政务网。</w:t>
      </w:r>
      <w:r/>
    </w:p>
    <w:p>
      <w:pPr>
        <w:ind w:firstLine="482"/>
        <w:spacing w:line="570" w:lineRule="exact"/>
        <w:rPr>
          <w:rFonts w:ascii="宋体" w:hAnsi="宋体"/>
          <w:b/>
          <w:sz w:val="24"/>
        </w:rPr>
      </w:pPr>
      <w:r>
        <w:rPr>
          <w:rFonts w:ascii="宋体" w:hAnsi="宋体"/>
          <w:b/>
          <w:sz w:val="24"/>
        </w:rPr>
      </w:r>
      <w:r/>
    </w:p>
    <w:p>
      <w:pPr>
        <w:ind w:firstLine="482"/>
        <w:spacing w:line="570" w:lineRule="exact"/>
        <w:rPr>
          <w:rFonts w:ascii="宋体" w:hAnsi="宋体"/>
          <w:b/>
          <w:sz w:val="24"/>
        </w:rPr>
      </w:pPr>
      <w:r>
        <w:rPr>
          <w:rFonts w:hint="eastAsia" w:ascii="宋体" w:hAnsi="宋体"/>
          <w:b/>
          <w:sz w:val="24"/>
        </w:rPr>
        <w:t xml:space="preserve">5. 实质性要求</w:t>
      </w:r>
      <w:r/>
    </w:p>
    <w:p>
      <w:pPr>
        <w:ind w:firstLine="480"/>
        <w:spacing w:line="570" w:lineRule="exact"/>
        <w:rPr>
          <w:rFonts w:ascii="宋体" w:hAnsi="宋体"/>
          <w:sz w:val="24"/>
        </w:rPr>
      </w:pPr>
      <w:r>
        <w:rPr>
          <w:rFonts w:hint="eastAsia" w:ascii="宋体" w:hAnsi="宋体"/>
          <w:sz w:val="24"/>
        </w:rPr>
        <w:t xml:space="preserve">无。</w:t>
      </w:r>
      <w:r/>
    </w:p>
    <w:p>
      <w:pPr>
        <w:ind w:firstLine="480"/>
        <w:spacing w:line="570" w:lineRule="exact"/>
        <w:rPr>
          <w:rFonts w:ascii="宋体" w:hAnsi="宋体"/>
          <w:sz w:val="24"/>
        </w:rPr>
      </w:pPr>
      <w:r>
        <w:rPr>
          <w:rFonts w:ascii="宋体" w:hAnsi="宋体"/>
          <w:sz w:val="24"/>
        </w:rPr>
      </w:r>
      <w:r/>
    </w:p>
    <w:p>
      <w:pPr>
        <w:ind w:firstLine="482"/>
        <w:spacing w:line="570" w:lineRule="exact"/>
        <w:rPr>
          <w:rFonts w:ascii="宋体" w:hAnsi="宋体"/>
          <w:b/>
          <w:sz w:val="24"/>
        </w:rPr>
      </w:pPr>
      <w:r>
        <w:rPr>
          <w:rFonts w:hint="eastAsia" w:ascii="宋体" w:hAnsi="宋体"/>
          <w:b/>
          <w:sz w:val="24"/>
        </w:rPr>
        <w:t xml:space="preserve">6. 样品</w:t>
      </w:r>
      <w:r/>
    </w:p>
    <w:p>
      <w:pPr>
        <w:ind w:firstLine="480"/>
        <w:spacing w:line="570" w:lineRule="exact"/>
        <w:rPr>
          <w:rFonts w:ascii="宋体" w:hAnsi="宋体"/>
          <w:sz w:val="24"/>
        </w:rPr>
      </w:pPr>
      <w:r>
        <w:rPr>
          <w:rFonts w:hint="eastAsia" w:ascii="宋体" w:hAnsi="宋体"/>
          <w:sz w:val="24"/>
        </w:rPr>
        <w:t xml:space="preserve">无。</w:t>
      </w:r>
      <w:r/>
    </w:p>
    <w:p>
      <w:pPr>
        <w:ind w:firstLine="480"/>
        <w:spacing w:line="570" w:lineRule="exact"/>
        <w:rPr>
          <w:rFonts w:ascii="宋体" w:hAnsi="宋体"/>
          <w:sz w:val="24"/>
        </w:rPr>
      </w:pPr>
      <w:r>
        <w:rPr>
          <w:rFonts w:ascii="宋体" w:hAnsi="宋体"/>
          <w:sz w:val="24"/>
        </w:rPr>
      </w:r>
      <w:r/>
    </w:p>
    <w:p>
      <w:pPr>
        <w:ind w:firstLine="482"/>
        <w:spacing w:line="570" w:lineRule="exact"/>
        <w:rPr>
          <w:rFonts w:ascii="宋体" w:hAnsi="宋体"/>
          <w:b/>
          <w:color w:val="000000"/>
          <w:sz w:val="24"/>
        </w:rPr>
      </w:pPr>
      <w:r>
        <w:rPr>
          <w:rFonts w:hint="eastAsia" w:ascii="宋体" w:hAnsi="宋体"/>
          <w:b/>
          <w:color w:val="000000"/>
          <w:sz w:val="24"/>
        </w:rPr>
        <w:t xml:space="preserve">7. 演示</w:t>
      </w:r>
      <w:r/>
    </w:p>
    <w:p>
      <w:pPr>
        <w:ind w:firstLine="480"/>
        <w:spacing w:line="570" w:lineRule="exact"/>
        <w:rPr>
          <w:rFonts w:ascii="宋体" w:hAnsi="宋体"/>
          <w:sz w:val="24"/>
        </w:rPr>
      </w:pPr>
      <w:r>
        <w:rPr>
          <w:rFonts w:hint="eastAsia" w:ascii="宋体" w:hAnsi="宋体"/>
          <w:sz w:val="24"/>
        </w:rPr>
        <w:t xml:space="preserve">无。</w:t>
      </w:r>
      <w:r/>
    </w:p>
    <w:p>
      <w:pPr>
        <w:ind w:firstLine="482"/>
        <w:spacing w:line="570" w:lineRule="exact"/>
        <w:rPr>
          <w:rFonts w:ascii="宋体" w:hAnsi="宋体"/>
          <w:b/>
          <w:sz w:val="24"/>
        </w:rPr>
      </w:pPr>
      <w:r>
        <w:rPr>
          <w:rFonts w:ascii="宋体" w:hAnsi="宋体"/>
          <w:b/>
          <w:sz w:val="24"/>
        </w:rPr>
      </w:r>
      <w:r/>
    </w:p>
    <w:p>
      <w:pPr>
        <w:ind w:firstLine="482"/>
        <w:spacing w:line="570" w:lineRule="exact"/>
        <w:rPr>
          <w:rFonts w:ascii="宋体" w:hAnsi="宋体"/>
          <w:b/>
          <w:sz w:val="24"/>
        </w:rPr>
      </w:pPr>
      <w:r>
        <w:rPr>
          <w:rFonts w:hint="eastAsia" w:ascii="宋体" w:hAnsi="宋体"/>
          <w:b/>
          <w:sz w:val="24"/>
        </w:rPr>
        <w:t xml:space="preserve">8.采购标的对应的中小企业划分标准所属行业一览表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20"/>
        <w:gridCol w:w="3291"/>
        <w:gridCol w:w="3549"/>
      </w:tblGrid>
      <w:tr>
        <w:trPr>
          <w:cantSplit/>
          <w:jc w:val="center"/>
        </w:trPr>
        <w:tc>
          <w:tcPr>
            <w:tcW w:w="1420" w:type="dxa"/>
            <w:vAlign w:val="center"/>
            <w:textDirection w:val="lrTb"/>
            <w:noWrap w:val="false"/>
          </w:tcPr>
          <w:p>
            <w:pPr>
              <w:ind w:firstLine="120"/>
              <w:spacing w:line="570" w:lineRule="exact"/>
              <w:rPr>
                <w:rFonts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spacing w:line="570" w:lineRule="exact"/>
              <w:rPr>
                <w:rFonts w:ascii="宋体" w:hAnsi="宋体"/>
                <w:sz w:val="24"/>
              </w:rPr>
            </w:pPr>
            <w:r>
              <w:rPr>
                <w:rFonts w:hint="eastAsia" w:ascii="宋体" w:hAnsi="宋体"/>
                <w:sz w:val="24"/>
              </w:rPr>
              <w:t xml:space="preserve">采购标的</w:t>
            </w:r>
            <w:r/>
          </w:p>
        </w:tc>
        <w:tc>
          <w:tcPr>
            <w:tcW w:w="3549" w:type="dxa"/>
            <w:vAlign w:val="center"/>
            <w:textDirection w:val="lrTb"/>
            <w:noWrap w:val="false"/>
          </w:tcPr>
          <w:p>
            <w:pPr>
              <w:spacing w:line="570" w:lineRule="exact"/>
              <w:rPr>
                <w:rFonts w:ascii="宋体" w:hAnsi="宋体"/>
                <w:sz w:val="24"/>
              </w:rPr>
            </w:pPr>
            <w:r>
              <w:rPr>
                <w:rFonts w:hint="eastAsia" w:ascii="宋体" w:hAnsi="宋体"/>
                <w:sz w:val="24"/>
              </w:rPr>
              <w:t xml:space="preserve">对应中小企业划分标准所属行业</w:t>
            </w:r>
            <w:r/>
          </w:p>
        </w:tc>
      </w:tr>
      <w:tr>
        <w:trPr>
          <w:cantSplit/>
          <w:jc w:val="center"/>
          <w:trHeight w:val="291"/>
        </w:trPr>
        <w:tc>
          <w:tcPr>
            <w:tcW w:w="1420" w:type="dxa"/>
            <w:vAlign w:val="center"/>
            <w:textDirection w:val="lrTb"/>
            <w:noWrap w:val="false"/>
          </w:tcPr>
          <w:p>
            <w:pPr>
              <w:jc w:val="center"/>
              <w:spacing w:line="570" w:lineRule="exact"/>
              <w:rPr>
                <w:rFonts w:ascii="宋体" w:hAnsi="宋体"/>
                <w:sz w:val="24"/>
              </w:rPr>
            </w:pPr>
            <w:r>
              <w:rPr>
                <w:rFonts w:hint="eastAsia" w:ascii="宋体" w:hAnsi="宋体"/>
                <w:sz w:val="24"/>
              </w:rPr>
              <w:t xml:space="preserve">1</w:t>
            </w:r>
            <w:r/>
          </w:p>
        </w:tc>
        <w:tc>
          <w:tcPr>
            <w:tcW w:w="3291" w:type="dxa"/>
            <w:vAlign w:val="center"/>
            <w:textDirection w:val="lrTb"/>
            <w:noWrap w:val="false"/>
          </w:tcPr>
          <w:p>
            <w:pPr>
              <w:ind w:firstLine="480"/>
              <w:jc w:val="center"/>
              <w:spacing w:line="570" w:lineRule="exact"/>
              <w:rPr>
                <w:rFonts w:ascii="宋体" w:hAnsi="宋体"/>
                <w:sz w:val="24"/>
              </w:rPr>
            </w:pPr>
            <w:r>
              <w:rPr>
                <w:rFonts w:hint="eastAsia" w:ascii="宋体" w:hAnsi="宋体"/>
                <w:sz w:val="24"/>
              </w:rPr>
              <w:t xml:space="preserve">新北区智慧城市管理指挥平台（二期）</w:t>
            </w:r>
            <w:r/>
          </w:p>
        </w:tc>
        <w:tc>
          <w:tcPr>
            <w:tcW w:w="3549" w:type="dxa"/>
            <w:vAlign w:val="center"/>
            <w:textDirection w:val="lrTb"/>
            <w:noWrap w:val="false"/>
          </w:tcPr>
          <w:p>
            <w:pPr>
              <w:ind w:firstLine="480"/>
              <w:jc w:val="center"/>
              <w:spacing w:line="570" w:lineRule="exact"/>
              <w:rPr>
                <w:rFonts w:ascii="宋体" w:hAnsi="宋体"/>
                <w:sz w:val="24"/>
              </w:rPr>
            </w:pPr>
            <w:r>
              <w:rPr>
                <w:rFonts w:hint="eastAsia" w:ascii="宋体" w:hAnsi="宋体"/>
                <w:sz w:val="24"/>
              </w:rPr>
              <w:t xml:space="preserve">软件和信息技术服务业</w:t>
            </w:r>
            <w:r/>
          </w:p>
        </w:tc>
      </w:tr>
    </w:tbl>
    <w:p>
      <w:pPr>
        <w:ind w:firstLine="480"/>
        <w:spacing w:line="570" w:lineRule="exact"/>
        <w:rPr>
          <w:rFonts w:ascii="宋体" w:hAnsi="宋体"/>
          <w:color w:val="000000"/>
          <w:sz w:val="24"/>
        </w:rPr>
      </w:pPr>
      <w:r>
        <w:rPr>
          <w:rFonts w:ascii="宋体" w:hAnsi="宋体"/>
          <w:color w:val="000000"/>
          <w:sz w:val="24"/>
        </w:rPr>
      </w:r>
      <w:r/>
    </w:p>
    <w:p>
      <w:pPr>
        <w:jc w:val="center"/>
        <w:keepNext/>
        <w:rPr>
          <w:rFonts w:ascii="黑体" w:hAnsi="Times New Roman" w:eastAsia="黑体"/>
          <w:bCs/>
          <w:sz w:val="44"/>
          <w:szCs w:val="28"/>
        </w:rPr>
        <w:outlineLvl w:val="0"/>
      </w:pPr>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评审方法与评审标准</w:t>
      </w:r>
      <w:r/>
    </w:p>
    <w:p>
      <w:pPr>
        <w:rPr>
          <w:rFonts w:ascii="Times New Roman" w:hAnsi="Times New Roman"/>
          <w:szCs w:val="21"/>
        </w:rPr>
      </w:pPr>
      <w:r>
        <w:rPr>
          <w:rFonts w:ascii="Times New Roman" w:hAnsi="Times New Roman"/>
          <w:szCs w:val="21"/>
        </w:rPr>
      </w:r>
      <w:r/>
    </w:p>
    <w:p>
      <w:pPr>
        <w:pStyle w:val="925"/>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响应</w:t>
      </w:r>
      <w:r>
        <w:rPr>
          <w:rFonts w:cs="Arial"/>
        </w:rPr>
        <w:t xml:space="preserve">文件满足</w:t>
      </w:r>
      <w:r>
        <w:rPr>
          <w:rFonts w:hint="eastAsia" w:cs="Arial"/>
        </w:rPr>
        <w:t xml:space="preserve">磋商</w:t>
      </w:r>
      <w:r>
        <w:rPr>
          <w:rFonts w:cs="Arial"/>
        </w:rPr>
        <w:t xml:space="preserve">文件全部实质性要求，</w:t>
      </w:r>
      <w:r>
        <w:rPr>
          <w:rFonts w:cs="Arial"/>
        </w:rPr>
        <w:t xml:space="preserve">且按照</w:t>
      </w:r>
      <w:r>
        <w:rPr>
          <w:rFonts w:cs="Arial"/>
        </w:rPr>
        <w:t xml:space="preserve">评审因素的量化指标评审得分最高的供应商为</w:t>
      </w:r>
      <w:r>
        <w:rPr>
          <w:rFonts w:hint="eastAsia" w:cs="Arial"/>
        </w:rPr>
        <w:t xml:space="preserve">排名第一的成交</w:t>
      </w:r>
      <w:r>
        <w:rPr>
          <w:rFonts w:cs="Arial"/>
        </w:rPr>
        <w:t xml:space="preserve">候选人</w:t>
      </w:r>
      <w:r>
        <w:rPr>
          <w:rFonts w:hint="eastAsia" w:cs="Arial"/>
        </w:rPr>
        <w:t xml:space="preserve">。本项目分包选取</w:t>
      </w:r>
      <w:r>
        <w:rPr>
          <w:rFonts w:hint="eastAsia" w:cs="Arial"/>
        </w:rPr>
        <w:t xml:space="preserve">3</w:t>
      </w:r>
      <w:r>
        <w:rPr>
          <w:rFonts w:hint="eastAsia" w:cs="Arial"/>
        </w:rPr>
        <w:t xml:space="preserve">名成交候选人。</w:t>
      </w:r>
      <w:r/>
    </w:p>
    <w:p>
      <w:pPr>
        <w:pStyle w:val="925"/>
        <w:ind w:firstLine="441"/>
        <w:rPr>
          <w:rFonts w:ascii="宋体" w:hAnsi="宋体"/>
          <w:b/>
          <w:highlight w:val="yellow"/>
        </w:rPr>
      </w:pPr>
      <w:r>
        <w:rPr>
          <w:rFonts w:hint="eastAsia" w:ascii="宋体" w:hAnsi="宋体"/>
          <w:b/>
        </w:rPr>
        <w:t xml:space="preserve">政府采购政策功能落实</w:t>
      </w:r>
      <w:r/>
    </w:p>
    <w:p>
      <w:pPr>
        <w:pStyle w:val="925"/>
        <w:spacing w:line="0" w:lineRule="atLeast"/>
        <w:rPr>
          <w:rFonts w:ascii="宋体" w:hAnsi="宋体"/>
        </w:rPr>
      </w:pPr>
      <w:r>
        <w:rPr>
          <w:rFonts w:hint="eastAsia" w:ascii="宋体" w:hAnsi="宋体"/>
        </w:rPr>
        <w:t xml:space="preserve">1、小微型企业价格扣除</w:t>
      </w:r>
      <w:r/>
    </w:p>
    <w:p>
      <w:pPr>
        <w:pStyle w:val="925"/>
        <w:ind w:firstLine="360"/>
        <w:spacing w:line="0" w:lineRule="atLeast"/>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925"/>
        <w:ind w:firstLine="360"/>
        <w:spacing w:line="0" w:lineRule="atLeast"/>
        <w:rPr>
          <w:rFonts w:ascii="宋体" w:hAnsi="宋体"/>
        </w:rPr>
      </w:pPr>
      <w:r>
        <w:rPr>
          <w:rFonts w:hint="eastAsia" w:ascii="宋体" w:hAnsi="宋体"/>
        </w:rPr>
        <w:t xml:space="preserve">（2）供应商需按照采购文件的要求提供相应的《小微企业声明函》。</w:t>
      </w:r>
      <w:r/>
    </w:p>
    <w:p>
      <w:pPr>
        <w:pStyle w:val="925"/>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925"/>
        <w:spacing w:line="0" w:lineRule="atLeast"/>
        <w:rPr>
          <w:rFonts w:ascii="宋体" w:hAnsi="宋体"/>
        </w:rPr>
      </w:pPr>
      <w:r>
        <w:rPr>
          <w:rFonts w:hint="eastAsia" w:ascii="宋体" w:hAnsi="宋体"/>
        </w:rPr>
        <w:t xml:space="preserve">2、残疾人福利单位价格扣除</w:t>
      </w:r>
      <w:r/>
    </w:p>
    <w:p>
      <w:pPr>
        <w:pStyle w:val="925"/>
        <w:ind w:left="120" w:firstLine="360"/>
        <w:spacing w:line="0" w:lineRule="atLeast"/>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25"/>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p>
    <w:p>
      <w:pPr>
        <w:pStyle w:val="925"/>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p>
    <w:p>
      <w:pPr>
        <w:pStyle w:val="925"/>
        <w:spacing w:line="0" w:lineRule="atLeast"/>
        <w:rPr>
          <w:rFonts w:ascii="宋体" w:hAnsi="宋体"/>
        </w:rPr>
      </w:pPr>
      <w:r>
        <w:rPr>
          <w:rFonts w:hint="eastAsia" w:ascii="宋体" w:hAnsi="宋体"/>
        </w:rPr>
        <w:t xml:space="preserve">3、监狱和戒毒企业价格扣除</w:t>
      </w:r>
      <w:r/>
    </w:p>
    <w:p>
      <w:pPr>
        <w:pStyle w:val="925"/>
        <w:spacing w:line="0" w:lineRule="atLeast"/>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25"/>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25"/>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25"/>
        <w:spacing w:line="400" w:lineRule="exact"/>
        <w:rPr>
          <w:rFonts w:ascii="宋体" w:hAnsi="宋体"/>
        </w:rPr>
      </w:pPr>
      <w:r>
        <w:rPr>
          <w:rFonts w:hint="eastAsia" w:ascii="宋体" w:hAnsi="宋体"/>
        </w:rPr>
        <w:t xml:space="preserve">4、残疾人福利单位、监狱企业属于小型、微型企业的，不重复享受政策。</w:t>
      </w:r>
      <w:r/>
    </w:p>
    <w:p>
      <w:pPr>
        <w:pStyle w:val="925"/>
        <w:spacing w:line="400" w:lineRule="exact"/>
        <w:rPr>
          <w:rFonts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25"/>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25"/>
        <w:ind w:firstLine="482"/>
        <w:spacing w:line="0" w:lineRule="atLeast"/>
        <w:rPr>
          <w:rFonts w:ascii="宋体" w:hAnsi="宋体"/>
          <w:b/>
          <w:highlight w:val="yellow"/>
        </w:rPr>
      </w:pPr>
      <w:r>
        <w:rPr>
          <w:rFonts w:hint="eastAsia" w:ascii="宋体" w:hAnsi="宋体"/>
          <w:b/>
        </w:rPr>
        <w:t xml:space="preserve">评标方法与评标标准</w:t>
      </w:r>
      <w:r/>
    </w:p>
    <w:tbl>
      <w:tblPr>
        <w:tblW w:w="5107" w:type="pct"/>
        <w:jc w:val="center"/>
        <w:tblCellMar>
          <w:left w:w="0" w:type="dxa"/>
          <w:right w:w="0" w:type="dxa"/>
        </w:tblCellMar>
        <w:tblLook w:val="04A0" w:firstRow="1" w:lastRow="0" w:firstColumn="1" w:lastColumn="0" w:noHBand="0" w:noVBand="1"/>
      </w:tblPr>
      <w:tblGrid>
        <w:gridCol w:w="889"/>
        <w:gridCol w:w="1507"/>
        <w:gridCol w:w="4508"/>
        <w:gridCol w:w="838"/>
        <w:gridCol w:w="646"/>
        <w:gridCol w:w="773"/>
        <w:gridCol w:w="773"/>
      </w:tblGrid>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spacing w:line="288" w:lineRule="auto"/>
              <w:widowControl/>
              <w:rPr>
                <w:rFonts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center"/>
              <w:spacing w:line="288" w:lineRule="auto"/>
              <w:widowControl/>
              <w:rPr>
                <w:rFonts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spacing w:line="288" w:lineRule="auto"/>
              <w:rPr>
                <w:rFonts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spacing w:line="288" w:lineRule="auto"/>
              <w:rPr>
                <w:rFonts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rPr>
                <w:rFonts w:ascii="宋体" w:hAnsi="宋体"/>
                <w:b/>
                <w:sz w:val="18"/>
                <w:szCs w:val="18"/>
              </w:rPr>
            </w:pPr>
            <w:r>
              <w:rPr>
                <w:rFonts w:ascii="宋体" w:hAnsi="宋体"/>
                <w:b/>
                <w:sz w:val="18"/>
                <w:szCs w:val="18"/>
              </w:rPr>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rPr>
                <w:rFonts w:ascii="宋体" w:hAnsi="宋体"/>
                <w:b/>
                <w:sz w:val="18"/>
                <w:szCs w:val="18"/>
              </w:rPr>
            </w:pPr>
            <w:r>
              <w:rPr>
                <w:rFonts w:ascii="宋体" w:hAnsi="宋体"/>
                <w:b/>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Cs/>
                <w:sz w:val="18"/>
                <w:szCs w:val="18"/>
              </w:rPr>
              <w:t xml:space="preserve">采用低价优先法，即满足招标文件要求且投标价格最低的投标报价作为评标基准价，其价格分为满分。其他投标人的价格</w:t>
            </w:r>
            <w:r>
              <w:rPr>
                <w:rFonts w:hint="eastAsia" w:ascii="宋体" w:hAnsi="宋体" w:cs="宋体"/>
                <w:bCs/>
                <w:sz w:val="18"/>
                <w:szCs w:val="18"/>
              </w:rPr>
              <w:t xml:space="preserve">分统一</w:t>
            </w:r>
            <w:r>
              <w:rPr>
                <w:rFonts w:hint="eastAsia" w:ascii="宋体" w:hAnsi="宋体" w:cs="宋体"/>
                <w:bCs/>
                <w:sz w:val="18"/>
                <w:szCs w:val="18"/>
              </w:rPr>
              <w:t xml:space="preserve">按照下列公式计算：投标报价得分=(评标基准价/投标报价)×</w:t>
            </w:r>
            <w:r>
              <w:rPr>
                <w:rFonts w:ascii="宋体" w:hAnsi="宋体" w:cs="宋体"/>
                <w:bCs/>
                <w:sz w:val="18"/>
                <w:szCs w:val="18"/>
              </w:rPr>
              <w:t xml:space="preserve">10</w:t>
            </w:r>
            <w:r>
              <w:rPr>
                <w:rFonts w:hint="eastAsia" w:ascii="宋体" w:hAnsi="宋体" w:cs="宋体"/>
                <w:bCs/>
                <w:sz w:val="18"/>
                <w:szCs w:val="18"/>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ascii="宋体" w:hAnsi="宋体" w:cs="宋体"/>
                <w:b/>
                <w:bCs/>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spacing w:line="288" w:lineRule="auto"/>
              <w:widowControl/>
              <w:rPr>
                <w:rFonts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center"/>
              <w:spacing w:line="288" w:lineRule="auto"/>
              <w:widowControl/>
              <w:rPr>
                <w:rFonts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spacing w:line="288" w:lineRule="auto"/>
              <w:rPr>
                <w:rFonts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spacing w:line="288" w:lineRule="auto"/>
              <w:rPr>
                <w:rFonts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rPr>
                <w:rFonts w:ascii="宋体" w:hAnsi="宋体"/>
                <w:b/>
                <w:sz w:val="18"/>
                <w:szCs w:val="18"/>
              </w:rPr>
            </w:pPr>
            <w:r>
              <w:rPr>
                <w:rFonts w:hint="eastAsia" w:ascii="宋体" w:hAnsi="宋体"/>
                <w:b/>
                <w:sz w:val="18"/>
                <w:szCs w:val="18"/>
              </w:rPr>
              <w:t xml:space="preserve">是否暗标评审</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rPr>
                <w:rFonts w:ascii="宋体" w:hAnsi="宋体"/>
                <w:b/>
                <w:sz w:val="18"/>
                <w:szCs w:val="18"/>
              </w:rPr>
            </w:pPr>
            <w:r>
              <w:rPr>
                <w:rFonts w:hint="eastAsia" w:ascii="宋体" w:hAnsi="宋体"/>
                <w:b/>
                <w:sz w:val="18"/>
                <w:szCs w:val="18"/>
              </w:rPr>
              <w:t xml:space="preserve">是否客观分</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技术分</w:t>
            </w:r>
            <w:r/>
          </w:p>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spacing w:line="288" w:lineRule="auto"/>
              <w:widowControl/>
              <w:rPr>
                <w:rFonts w:ascii="宋体" w:hAnsi="宋体" w:cs="宋体"/>
                <w:b/>
                <w:bCs/>
                <w:sz w:val="18"/>
                <w:szCs w:val="18"/>
              </w:rPr>
            </w:pPr>
            <w:r>
              <w:rPr>
                <w:rFonts w:hint="eastAsia" w:ascii="宋体" w:hAnsi="宋体" w:cs="宋体"/>
                <w:b/>
                <w:bCs/>
                <w:sz w:val="18"/>
                <w:szCs w:val="18"/>
              </w:rPr>
              <w:t xml:space="preserve">下列（2.1-2</w:t>
            </w:r>
            <w:r>
              <w:rPr>
                <w:rFonts w:ascii="宋体" w:hAnsi="宋体" w:cs="宋体"/>
                <w:b/>
                <w:bCs/>
                <w:sz w:val="18"/>
                <w:szCs w:val="18"/>
              </w:rPr>
              <w:t xml:space="preserve">.5</w:t>
            </w:r>
            <w:r>
              <w:rPr>
                <w:rFonts w:hint="eastAsia" w:ascii="宋体" w:hAnsi="宋体" w:cs="宋体"/>
                <w:b/>
                <w:bCs/>
                <w:sz w:val="18"/>
                <w:szCs w:val="18"/>
              </w:rPr>
              <w:t xml:space="preserve">）评分</w:t>
            </w:r>
            <w:r>
              <w:rPr>
                <w:rFonts w:hint="eastAsia" w:ascii="宋体" w:hAnsi="宋体" w:cs="宋体"/>
                <w:b/>
                <w:bCs/>
                <w:sz w:val="18"/>
                <w:szCs w:val="18"/>
              </w:rPr>
              <w:t xml:space="preserve">项属于</w:t>
            </w:r>
            <w:r>
              <w:rPr>
                <w:rFonts w:hint="eastAsia" w:ascii="宋体" w:hAnsi="宋体" w:cs="宋体"/>
                <w:b/>
                <w:bCs/>
                <w:sz w:val="18"/>
                <w:szCs w:val="18"/>
              </w:rPr>
              <w:t xml:space="preserve">暗标评审项，各投标人（供应商）提供评审材料（含样品）中不能出现投标人（供应商）的名称、标志、标记以及其它能够体现投标人（供应商）的信息，否则所有暗标评审项目均不得分。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4</w:t>
            </w:r>
            <w:r>
              <w:rPr>
                <w:rFonts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项目理解与架构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spacing w:line="288" w:lineRule="auto"/>
              <w:widowControl/>
              <w:rPr>
                <w:rFonts w:ascii="宋体" w:hAnsi="宋体" w:cs="宋体"/>
                <w:bCs/>
                <w:sz w:val="18"/>
                <w:szCs w:val="18"/>
              </w:rPr>
            </w:pPr>
            <w:r>
              <w:rPr>
                <w:rFonts w:hint="eastAsia" w:ascii="宋体" w:hAnsi="宋体" w:cs="宋体"/>
                <w:bCs/>
                <w:sz w:val="18"/>
                <w:szCs w:val="18"/>
              </w:rPr>
              <w:t xml:space="preserve">投标人对项目现状进行阐述，提供的产品的思路目标、总体框架与架构、功能模块设计等方案，评审小组综合评分，本项最高得8分。</w:t>
            </w:r>
            <w:r/>
          </w:p>
          <w:p>
            <w:pPr>
              <w:jc w:val="left"/>
              <w:spacing w:line="288" w:lineRule="auto"/>
              <w:widowControl/>
              <w:rPr>
                <w:rFonts w:ascii="宋体" w:hAnsi="宋体" w:cs="宋体"/>
                <w:bCs/>
                <w:sz w:val="18"/>
                <w:szCs w:val="18"/>
              </w:rPr>
            </w:pPr>
            <w:r>
              <w:rPr>
                <w:rFonts w:hint="eastAsia" w:ascii="宋体" w:hAnsi="宋体" w:cs="宋体"/>
                <w:bCs/>
                <w:sz w:val="18"/>
                <w:szCs w:val="18"/>
              </w:rPr>
              <w:t xml:space="preserve">1.方案完善，思路目标明确，总体框架与模块设计科学、合理的，得8分；</w:t>
            </w:r>
            <w:r/>
          </w:p>
          <w:p>
            <w:pPr>
              <w:jc w:val="left"/>
              <w:spacing w:line="288" w:lineRule="auto"/>
              <w:widowControl/>
              <w:rPr>
                <w:rFonts w:ascii="宋体" w:hAnsi="宋体" w:cs="宋体"/>
                <w:bCs/>
                <w:sz w:val="18"/>
                <w:szCs w:val="18"/>
              </w:rPr>
            </w:pPr>
            <w:r>
              <w:rPr>
                <w:rFonts w:hint="eastAsia" w:ascii="宋体" w:hAnsi="宋体" w:cs="宋体"/>
                <w:bCs/>
                <w:sz w:val="18"/>
                <w:szCs w:val="18"/>
              </w:rPr>
              <w:t xml:space="preserve">2.方案基本完善，思路目标较明确，总体框架与模块设计科学、合理的，得6分； </w:t>
            </w:r>
            <w:r/>
          </w:p>
          <w:p>
            <w:pPr>
              <w:jc w:val="left"/>
              <w:spacing w:line="288" w:lineRule="auto"/>
              <w:widowControl/>
              <w:rPr>
                <w:rFonts w:ascii="宋体" w:hAnsi="宋体" w:cs="宋体"/>
                <w:bCs/>
                <w:sz w:val="18"/>
                <w:szCs w:val="18"/>
              </w:rPr>
            </w:pPr>
            <w:r>
              <w:rPr>
                <w:rFonts w:hint="eastAsia" w:ascii="宋体" w:hAnsi="宋体" w:cs="宋体"/>
                <w:bCs/>
                <w:sz w:val="18"/>
                <w:szCs w:val="18"/>
              </w:rPr>
              <w:t xml:space="preserve">3.方案较完善，思路目标较明确，总体框架与模块设计较简单的，得4分；</w:t>
            </w:r>
            <w:r/>
          </w:p>
          <w:p>
            <w:pPr>
              <w:jc w:val="left"/>
              <w:spacing w:line="288" w:lineRule="auto"/>
              <w:widowControl/>
              <w:rPr>
                <w:rFonts w:ascii="宋体" w:hAnsi="宋体" w:cs="宋体"/>
                <w:bCs/>
                <w:sz w:val="18"/>
                <w:szCs w:val="18"/>
              </w:rPr>
            </w:pPr>
            <w:r>
              <w:rPr>
                <w:rFonts w:hint="eastAsia" w:ascii="宋体" w:hAnsi="宋体" w:cs="宋体"/>
                <w:bCs/>
                <w:sz w:val="18"/>
                <w:szCs w:val="18"/>
              </w:rPr>
              <w:t xml:space="preserve">4.方案简单，思路目标不太明确，总体框架与模块设计欠佳的，得2分； </w:t>
            </w:r>
            <w:r/>
          </w:p>
          <w:p>
            <w:pPr>
              <w:jc w:val="left"/>
              <w:spacing w:line="288" w:lineRule="auto"/>
              <w:widowControl/>
              <w:rPr>
                <w:rFonts w:ascii="宋体" w:hAnsi="宋体" w:cs="宋体"/>
                <w:bCs/>
                <w:sz w:val="18"/>
                <w:szCs w:val="18"/>
              </w:rPr>
            </w:pPr>
            <w:r>
              <w:rPr>
                <w:rFonts w:hint="eastAsia" w:ascii="宋体" w:hAnsi="宋体" w:cs="宋体"/>
                <w:bCs/>
                <w:sz w:val="18"/>
                <w:szCs w:val="18"/>
              </w:rPr>
              <w:t xml:space="preserve">5.未提供方案本项不得分。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8</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项目对接方案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spacing w:line="288" w:lineRule="auto"/>
              <w:widowControl/>
              <w:rPr>
                <w:rFonts w:ascii="宋体" w:hAnsi="宋体" w:cs="宋体"/>
                <w:bCs/>
                <w:sz w:val="18"/>
                <w:szCs w:val="18"/>
              </w:rPr>
            </w:pPr>
            <w:r>
              <w:rPr>
                <w:rFonts w:hint="eastAsia" w:ascii="宋体" w:hAnsi="宋体" w:cs="宋体"/>
                <w:bCs/>
                <w:sz w:val="18"/>
                <w:szCs w:val="18"/>
              </w:rPr>
              <w:t xml:space="preserve">投标人应根据对本项目的实际需求的掌握理解，对需求自行调研，对新北智慧城市管理指挥平台数据对接提供</w:t>
            </w:r>
            <w:bookmarkStart w:id="180" w:name="_GoBack"/>
            <w:r>
              <w:rPr>
                <w:rFonts w:hint="eastAsia" w:ascii="宋体" w:hAnsi="宋体" w:cs="宋体"/>
                <w:bCs/>
                <w:sz w:val="18"/>
                <w:szCs w:val="18"/>
              </w:rPr>
              <w:t xml:space="preserve">建设方案，</w:t>
            </w:r>
            <w:bookmarkEnd w:id="180"/>
            <w:r>
              <w:rPr>
                <w:rFonts w:hint="eastAsia" w:ascii="宋体" w:hAnsi="宋体" w:cs="宋体"/>
                <w:bCs/>
                <w:sz w:val="18"/>
                <w:szCs w:val="18"/>
              </w:rPr>
              <w:t xml:space="preserve">包括但不</w:t>
            </w:r>
            <w:r>
              <w:rPr>
                <w:rFonts w:hint="eastAsia" w:ascii="宋体" w:hAnsi="宋体" w:cs="宋体"/>
                <w:bCs/>
                <w:sz w:val="18"/>
                <w:szCs w:val="18"/>
                <w:highlight w:val="white"/>
              </w:rPr>
              <w:t xml:space="preserve">限</w:t>
            </w:r>
            <w:r>
              <w:rPr>
                <w:rFonts w:hint="eastAsia" w:ascii="宋体" w:hAnsi="宋体" w:cs="宋体"/>
                <w:bCs/>
                <w:sz w:val="18"/>
                <w:szCs w:val="18"/>
                <w:highlight w:val="white"/>
              </w:rPr>
              <w:t xml:space="preserve">于</w:t>
            </w:r>
            <w:r>
              <w:rPr>
                <w:rFonts w:hint="eastAsia" w:ascii="宋体" w:hAnsi="宋体" w:cs="宋体"/>
                <w:bCs/>
                <w:color w:val="000000"/>
                <w:sz w:val="18"/>
                <w:szCs w:val="18"/>
                <w:highlight w:val="white"/>
              </w:rPr>
              <w:t xml:space="preserve">熟悉本项目业务范围和业务整体架构，提出项目整体集成方案，</w:t>
            </w:r>
            <w:r>
              <w:rPr>
                <w:rFonts w:hint="eastAsia" w:ascii="宋体" w:hAnsi="宋体" w:cs="宋体"/>
                <w:bCs/>
                <w:sz w:val="18"/>
                <w:szCs w:val="18"/>
                <w:highlight w:val="white"/>
              </w:rPr>
              <w:t xml:space="preserve">评审</w:t>
            </w:r>
            <w:r>
              <w:rPr>
                <w:rFonts w:hint="eastAsia" w:ascii="宋体" w:hAnsi="宋体" w:cs="宋体"/>
                <w:bCs/>
                <w:sz w:val="18"/>
                <w:szCs w:val="18"/>
              </w:rPr>
              <w:t xml:space="preserve">小组综合评分，本项最高得8分。</w:t>
            </w:r>
            <w:r/>
          </w:p>
          <w:p>
            <w:pPr>
              <w:jc w:val="left"/>
              <w:spacing w:line="288" w:lineRule="auto"/>
              <w:widowControl/>
              <w:rPr>
                <w:rFonts w:ascii="宋体" w:hAnsi="宋体" w:cs="宋体"/>
                <w:bCs/>
                <w:sz w:val="18"/>
                <w:szCs w:val="18"/>
              </w:rPr>
            </w:pPr>
            <w:r>
              <w:rPr>
                <w:rFonts w:hint="eastAsia" w:ascii="宋体" w:hAnsi="宋体" w:cs="宋体"/>
                <w:bCs/>
                <w:sz w:val="18"/>
                <w:szCs w:val="18"/>
              </w:rPr>
              <w:t xml:space="preserve">1.方案全面，切实可行的,得8分； </w:t>
            </w:r>
            <w:r/>
          </w:p>
          <w:p>
            <w:pPr>
              <w:jc w:val="left"/>
              <w:spacing w:line="288" w:lineRule="auto"/>
              <w:widowControl/>
              <w:rPr>
                <w:rFonts w:ascii="宋体" w:hAnsi="宋体" w:cs="宋体"/>
                <w:bCs/>
                <w:sz w:val="18"/>
                <w:szCs w:val="18"/>
              </w:rPr>
            </w:pPr>
            <w:r>
              <w:rPr>
                <w:rFonts w:hint="eastAsia" w:ascii="宋体" w:hAnsi="宋体" w:cs="宋体"/>
                <w:bCs/>
                <w:sz w:val="18"/>
                <w:szCs w:val="18"/>
              </w:rPr>
              <w:t xml:space="preserve">2.方案全面，基本切实可行的,得6分； </w:t>
            </w:r>
            <w:r/>
          </w:p>
          <w:p>
            <w:pPr>
              <w:jc w:val="left"/>
              <w:spacing w:line="288" w:lineRule="auto"/>
              <w:widowControl/>
              <w:rPr>
                <w:rFonts w:ascii="宋体" w:hAnsi="宋体" w:cs="宋体"/>
                <w:bCs/>
                <w:sz w:val="18"/>
                <w:szCs w:val="18"/>
              </w:rPr>
            </w:pPr>
            <w:r>
              <w:rPr>
                <w:rFonts w:hint="eastAsia" w:ascii="宋体" w:hAnsi="宋体" w:cs="宋体"/>
                <w:bCs/>
                <w:sz w:val="18"/>
                <w:szCs w:val="18"/>
              </w:rPr>
              <w:t xml:space="preserve">3.方案较全面、较合理、较明确，可操作性较强的，得4分； </w:t>
            </w:r>
            <w:r/>
          </w:p>
          <w:p>
            <w:pPr>
              <w:jc w:val="left"/>
              <w:spacing w:line="288" w:lineRule="auto"/>
              <w:widowControl/>
              <w:rPr>
                <w:rFonts w:ascii="宋体" w:hAnsi="宋体" w:cs="宋体"/>
                <w:bCs/>
                <w:sz w:val="18"/>
                <w:szCs w:val="18"/>
              </w:rPr>
            </w:pPr>
            <w:r>
              <w:rPr>
                <w:rFonts w:hint="eastAsia" w:ascii="宋体" w:hAnsi="宋体" w:cs="宋体"/>
                <w:bCs/>
                <w:sz w:val="18"/>
                <w:szCs w:val="18"/>
              </w:rPr>
              <w:t xml:space="preserve">4.方案欠缺，与本项目匹配度不高的,得2分； 5.未提供方案本项不得分。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8</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实施计划与质量保障</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spacing w:line="288" w:lineRule="auto"/>
              <w:widowControl/>
              <w:rPr>
                <w:rFonts w:ascii="宋体" w:hAnsi="宋体" w:cs="宋体"/>
                <w:bCs/>
                <w:sz w:val="18"/>
                <w:szCs w:val="18"/>
              </w:rPr>
            </w:pPr>
            <w:r>
              <w:rPr>
                <w:rFonts w:hint="eastAsia" w:ascii="宋体" w:hAnsi="宋体" w:cs="宋体"/>
                <w:bCs/>
                <w:sz w:val="18"/>
                <w:szCs w:val="18"/>
              </w:rPr>
              <w:t xml:space="preserve">根据投标人提供实施计划、人员配置、质量管理措施、验收方案等，评审小组综合评分，本项最高得8分。 </w:t>
            </w:r>
            <w:r/>
          </w:p>
          <w:p>
            <w:pPr>
              <w:jc w:val="left"/>
              <w:spacing w:line="288" w:lineRule="auto"/>
              <w:widowControl/>
              <w:rPr>
                <w:rFonts w:ascii="宋体" w:hAnsi="宋体" w:cs="宋体"/>
                <w:bCs/>
                <w:sz w:val="18"/>
                <w:szCs w:val="18"/>
              </w:rPr>
            </w:pPr>
            <w:r>
              <w:rPr>
                <w:rFonts w:hint="eastAsia" w:ascii="宋体" w:hAnsi="宋体" w:cs="宋体"/>
                <w:bCs/>
                <w:sz w:val="18"/>
                <w:szCs w:val="18"/>
              </w:rPr>
              <w:t xml:space="preserve">1.方案详细完善，实施过程规范，利于项目实施的，得8分； </w:t>
            </w:r>
            <w:r/>
          </w:p>
          <w:p>
            <w:pPr>
              <w:jc w:val="left"/>
              <w:spacing w:line="288" w:lineRule="auto"/>
              <w:widowControl/>
              <w:rPr>
                <w:rFonts w:ascii="宋体" w:hAnsi="宋体" w:cs="宋体"/>
                <w:bCs/>
                <w:sz w:val="18"/>
                <w:szCs w:val="18"/>
              </w:rPr>
            </w:pPr>
            <w:r>
              <w:rPr>
                <w:rFonts w:hint="eastAsia" w:ascii="宋体" w:hAnsi="宋体" w:cs="宋体"/>
                <w:bCs/>
                <w:sz w:val="18"/>
                <w:szCs w:val="18"/>
              </w:rPr>
              <w:t xml:space="preserve">2.方案较详细完善，实施过程较规范，基本满足项目进行的，得6分； </w:t>
            </w:r>
            <w:r/>
          </w:p>
          <w:p>
            <w:pPr>
              <w:jc w:val="left"/>
              <w:spacing w:line="288" w:lineRule="auto"/>
              <w:widowControl/>
              <w:rPr>
                <w:rFonts w:ascii="宋体" w:hAnsi="宋体" w:cs="宋体"/>
                <w:bCs/>
                <w:sz w:val="18"/>
                <w:szCs w:val="18"/>
              </w:rPr>
            </w:pPr>
            <w:r>
              <w:rPr>
                <w:rFonts w:hint="eastAsia" w:ascii="宋体" w:hAnsi="宋体" w:cs="宋体"/>
                <w:bCs/>
                <w:sz w:val="18"/>
                <w:szCs w:val="18"/>
              </w:rPr>
              <w:t xml:space="preserve">3.方案欠缺，实施过程规范性欠佳，影响项目顺利进行的，得4分； </w:t>
            </w:r>
            <w:r/>
          </w:p>
          <w:p>
            <w:pPr>
              <w:jc w:val="left"/>
              <w:spacing w:line="288" w:lineRule="auto"/>
              <w:widowControl/>
              <w:rPr>
                <w:rFonts w:ascii="宋体" w:hAnsi="宋体" w:cs="宋体"/>
                <w:bCs/>
                <w:sz w:val="18"/>
                <w:szCs w:val="18"/>
              </w:rPr>
            </w:pPr>
            <w:r>
              <w:rPr>
                <w:rFonts w:hint="eastAsia" w:ascii="宋体" w:hAnsi="宋体" w:cs="宋体"/>
                <w:bCs/>
                <w:sz w:val="18"/>
                <w:szCs w:val="18"/>
              </w:rPr>
              <w:t xml:space="preserve">4..方案内容简单，实施过程规范性不贴近采购人需求的，得2分； </w:t>
            </w:r>
            <w:r/>
          </w:p>
          <w:p>
            <w:pPr>
              <w:jc w:val="left"/>
              <w:spacing w:line="288" w:lineRule="auto"/>
              <w:widowControl/>
              <w:rPr>
                <w:rFonts w:ascii="宋体" w:hAnsi="宋体" w:cs="宋体"/>
                <w:bCs/>
                <w:sz w:val="18"/>
                <w:szCs w:val="18"/>
              </w:rPr>
            </w:pPr>
            <w:r>
              <w:rPr>
                <w:rFonts w:hint="eastAsia" w:ascii="宋体" w:hAnsi="宋体" w:cs="宋体"/>
                <w:bCs/>
                <w:sz w:val="18"/>
                <w:szCs w:val="18"/>
              </w:rPr>
              <w:t xml:space="preserve">5.未提供方案本项不得分。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spacing w:line="288" w:lineRule="auto"/>
              <w:widowControl/>
              <w:rPr>
                <w:rFonts w:ascii="宋体" w:hAnsi="宋体" w:cs="宋体"/>
                <w:b/>
                <w:bCs/>
                <w:sz w:val="18"/>
                <w:szCs w:val="18"/>
              </w:rPr>
            </w:pPr>
            <w:r>
              <w:rPr>
                <w:rFonts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8</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运行维护方案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spacing w:line="288" w:lineRule="auto"/>
              <w:widowControl/>
              <w:rPr>
                <w:rFonts w:ascii="宋体" w:hAnsi="宋体" w:cs="宋体"/>
                <w:bCs/>
                <w:sz w:val="18"/>
                <w:szCs w:val="18"/>
              </w:rPr>
            </w:pPr>
            <w:r>
              <w:rPr>
                <w:rFonts w:hint="eastAsia" w:ascii="宋体" w:hAnsi="宋体" w:cs="宋体"/>
                <w:bCs/>
                <w:sz w:val="18"/>
                <w:szCs w:val="18"/>
              </w:rPr>
              <w:t xml:space="preserve">投标人需拟定合理的运行维护方案，包括运行维护服务的内容和方案及免费维保期结束后收费方案等，评委会对方案的完整性、合理性、可行性等方面，评审小组综合评分，本项最高得8分。 </w:t>
            </w:r>
            <w:r/>
          </w:p>
          <w:p>
            <w:pPr>
              <w:jc w:val="left"/>
              <w:spacing w:line="288" w:lineRule="auto"/>
              <w:widowControl/>
              <w:rPr>
                <w:rFonts w:ascii="宋体" w:hAnsi="宋体" w:cs="宋体"/>
                <w:bCs/>
                <w:sz w:val="18"/>
                <w:szCs w:val="18"/>
              </w:rPr>
            </w:pPr>
            <w:r>
              <w:rPr>
                <w:rFonts w:hint="eastAsia" w:ascii="宋体" w:hAnsi="宋体" w:cs="宋体"/>
                <w:bCs/>
                <w:sz w:val="18"/>
                <w:szCs w:val="18"/>
              </w:rPr>
              <w:t xml:space="preserve">1.运行维护方案内容非常完善、合理且可操作性强的，得8分； </w:t>
            </w:r>
            <w:r/>
          </w:p>
          <w:p>
            <w:pPr>
              <w:jc w:val="left"/>
              <w:spacing w:line="288" w:lineRule="auto"/>
              <w:widowControl/>
              <w:rPr>
                <w:rFonts w:ascii="宋体" w:hAnsi="宋体" w:cs="宋体"/>
                <w:bCs/>
                <w:sz w:val="18"/>
                <w:szCs w:val="18"/>
              </w:rPr>
            </w:pPr>
            <w:r>
              <w:rPr>
                <w:rFonts w:hint="eastAsia" w:ascii="宋体" w:hAnsi="宋体" w:cs="宋体"/>
                <w:bCs/>
                <w:sz w:val="18"/>
                <w:szCs w:val="18"/>
              </w:rPr>
              <w:t xml:space="preserve">2.运行维护方案内容较为完善、较合理且操作性可行的，得6分； </w:t>
            </w:r>
            <w:r/>
          </w:p>
          <w:p>
            <w:pPr>
              <w:jc w:val="left"/>
              <w:spacing w:line="288" w:lineRule="auto"/>
              <w:widowControl/>
              <w:rPr>
                <w:rFonts w:ascii="宋体" w:hAnsi="宋体" w:cs="宋体"/>
                <w:bCs/>
                <w:sz w:val="18"/>
                <w:szCs w:val="18"/>
              </w:rPr>
            </w:pPr>
            <w:r>
              <w:rPr>
                <w:rFonts w:hint="eastAsia" w:ascii="宋体" w:hAnsi="宋体" w:cs="宋体"/>
                <w:bCs/>
                <w:sz w:val="18"/>
                <w:szCs w:val="18"/>
              </w:rPr>
              <w:t xml:space="preserve">3.运行维护方案内容欠缺、较合理、操作性基本可行的，得4分； </w:t>
            </w:r>
            <w:r/>
          </w:p>
          <w:p>
            <w:pPr>
              <w:jc w:val="left"/>
              <w:spacing w:line="288" w:lineRule="auto"/>
              <w:widowControl/>
              <w:rPr>
                <w:rFonts w:ascii="宋体" w:hAnsi="宋体" w:cs="宋体"/>
                <w:bCs/>
                <w:sz w:val="18"/>
                <w:szCs w:val="18"/>
              </w:rPr>
            </w:pPr>
            <w:r>
              <w:rPr>
                <w:rFonts w:hint="eastAsia" w:ascii="宋体" w:hAnsi="宋体" w:cs="宋体"/>
                <w:bCs/>
                <w:sz w:val="18"/>
                <w:szCs w:val="18"/>
              </w:rPr>
              <w:t xml:space="preserve">4.运行维护方案内容不完善、不太合理且缺乏可操作性的，得2分； </w:t>
            </w:r>
            <w:r/>
          </w:p>
          <w:p>
            <w:pPr>
              <w:jc w:val="left"/>
              <w:spacing w:line="288" w:lineRule="auto"/>
              <w:widowControl/>
              <w:rPr>
                <w:rFonts w:ascii="宋体" w:hAnsi="宋体" w:cs="宋体"/>
                <w:bCs/>
                <w:sz w:val="18"/>
                <w:szCs w:val="18"/>
              </w:rPr>
            </w:pPr>
            <w:r>
              <w:rPr>
                <w:rFonts w:hint="eastAsia" w:ascii="宋体" w:hAnsi="宋体" w:cs="宋体"/>
                <w:bCs/>
                <w:sz w:val="18"/>
                <w:szCs w:val="18"/>
              </w:rPr>
              <w:t xml:space="preserve">5.未提供任何方案或方案未包含免费维保期结束后收费方案的本项不得分。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spacing w:line="288" w:lineRule="auto"/>
              <w:widowControl/>
              <w:rPr>
                <w:rFonts w:ascii="宋体" w:hAnsi="宋体" w:cs="宋体"/>
                <w:b/>
                <w:bCs/>
                <w:sz w:val="18"/>
                <w:szCs w:val="18"/>
              </w:rPr>
            </w:pPr>
            <w:r>
              <w:rPr>
                <w:rFonts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8</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应急方案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spacing w:line="288" w:lineRule="auto"/>
              <w:widowControl/>
              <w:rPr>
                <w:rFonts w:ascii="宋体" w:hAnsi="宋体" w:cs="宋体"/>
                <w:bCs/>
                <w:sz w:val="18"/>
                <w:szCs w:val="18"/>
              </w:rPr>
            </w:pPr>
            <w:r>
              <w:rPr>
                <w:rFonts w:hint="eastAsia" w:ascii="宋体" w:hAnsi="宋体" w:cs="宋体"/>
                <w:bCs/>
                <w:sz w:val="18"/>
                <w:szCs w:val="18"/>
              </w:rPr>
              <w:t xml:space="preserve">投标人需根据招标文件的要求，提供详细的售后服务方案：包括质保期限、故障响应时间、重大故障的应急预案和措施、备品备件的安排等。根据方案完整性、针对性、合理性等进行综合评分，本项最高得8分。 </w:t>
            </w:r>
            <w:r/>
          </w:p>
          <w:p>
            <w:pPr>
              <w:jc w:val="left"/>
              <w:spacing w:line="288" w:lineRule="auto"/>
              <w:widowControl/>
              <w:rPr>
                <w:rFonts w:ascii="宋体" w:hAnsi="宋体" w:cs="宋体"/>
                <w:bCs/>
                <w:sz w:val="18"/>
                <w:szCs w:val="18"/>
              </w:rPr>
            </w:pPr>
            <w:r>
              <w:rPr>
                <w:rFonts w:hint="eastAsia" w:ascii="宋体" w:hAnsi="宋体" w:cs="宋体"/>
                <w:bCs/>
                <w:sz w:val="18"/>
                <w:szCs w:val="18"/>
              </w:rPr>
              <w:t xml:space="preserve">1.方案完整、针对性强，描述明确合理，利于开展售后服务要的，得8分； </w:t>
            </w:r>
            <w:r/>
          </w:p>
          <w:p>
            <w:pPr>
              <w:jc w:val="left"/>
              <w:spacing w:line="288" w:lineRule="auto"/>
              <w:widowControl/>
              <w:rPr>
                <w:rFonts w:ascii="宋体" w:hAnsi="宋体" w:cs="宋体"/>
                <w:bCs/>
                <w:sz w:val="18"/>
                <w:szCs w:val="18"/>
              </w:rPr>
            </w:pPr>
            <w:r>
              <w:rPr>
                <w:rFonts w:hint="eastAsia" w:ascii="宋体" w:hAnsi="宋体" w:cs="宋体"/>
                <w:bCs/>
                <w:sz w:val="18"/>
                <w:szCs w:val="18"/>
              </w:rPr>
              <w:t xml:space="preserve">2.方案较完整、针对性较强，</w:t>
            </w:r>
            <w:r>
              <w:rPr>
                <w:rFonts w:hint="eastAsia" w:ascii="宋体" w:hAnsi="宋体" w:cs="宋体"/>
                <w:bCs/>
                <w:sz w:val="18"/>
                <w:szCs w:val="18"/>
              </w:rPr>
              <w:t xml:space="preserve">描述较</w:t>
            </w:r>
            <w:r>
              <w:rPr>
                <w:rFonts w:hint="eastAsia" w:ascii="宋体" w:hAnsi="宋体" w:cs="宋体"/>
                <w:bCs/>
                <w:sz w:val="18"/>
                <w:szCs w:val="18"/>
              </w:rPr>
              <w:t xml:space="preserve">明确合理，能基本满足售后服务的，得6分； </w:t>
            </w:r>
            <w:r/>
          </w:p>
          <w:p>
            <w:pPr>
              <w:jc w:val="left"/>
              <w:spacing w:line="288" w:lineRule="auto"/>
              <w:widowControl/>
              <w:rPr>
                <w:rFonts w:ascii="宋体" w:hAnsi="宋体" w:cs="宋体"/>
                <w:bCs/>
                <w:sz w:val="18"/>
                <w:szCs w:val="18"/>
              </w:rPr>
            </w:pPr>
            <w:r>
              <w:rPr>
                <w:rFonts w:hint="eastAsia" w:ascii="宋体" w:hAnsi="宋体" w:cs="宋体"/>
                <w:bCs/>
                <w:sz w:val="18"/>
                <w:szCs w:val="18"/>
              </w:rPr>
              <w:t xml:space="preserve">3.方案有少许缺漏项、针对性一般，描述一般的，得4分； </w:t>
            </w:r>
            <w:r/>
          </w:p>
          <w:p>
            <w:pPr>
              <w:jc w:val="left"/>
              <w:spacing w:line="288" w:lineRule="auto"/>
              <w:widowControl/>
              <w:rPr>
                <w:rFonts w:ascii="宋体" w:hAnsi="宋体" w:cs="宋体"/>
                <w:bCs/>
                <w:sz w:val="18"/>
                <w:szCs w:val="18"/>
              </w:rPr>
            </w:pPr>
            <w:r>
              <w:rPr>
                <w:rFonts w:hint="eastAsia" w:ascii="宋体" w:hAnsi="宋体" w:cs="宋体"/>
                <w:bCs/>
                <w:sz w:val="18"/>
                <w:szCs w:val="18"/>
              </w:rPr>
              <w:t xml:space="preserve">4.方案缺漏项多、欠缺、针对性不强的得2分； 5.未提供方案的不得分。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spacing w:line="288" w:lineRule="auto"/>
              <w:widowControl/>
              <w:rPr>
                <w:rFonts w:ascii="宋体" w:hAnsi="宋体" w:cs="宋体"/>
                <w:b/>
                <w:bCs/>
                <w:sz w:val="18"/>
                <w:szCs w:val="18"/>
              </w:rPr>
            </w:pPr>
            <w:r>
              <w:rPr>
                <w:rFonts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8</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商务分</w:t>
            </w:r>
            <w:r/>
          </w:p>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spacing w:line="288" w:lineRule="auto"/>
              <w:widowControl/>
              <w:rPr>
                <w:rFonts w:ascii="宋体" w:hAnsi="宋体" w:cs="宋体"/>
                <w:b/>
                <w:bCs/>
                <w:sz w:val="18"/>
                <w:szCs w:val="18"/>
              </w:rPr>
            </w:pPr>
            <w:r>
              <w:rPr>
                <w:rFonts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50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spacing w:line="288" w:lineRule="auto"/>
              <w:widowControl/>
              <w:rPr>
                <w:rFonts w:ascii="宋体" w:hAnsi="宋体" w:cs="宋体"/>
                <w:bCs/>
                <w:sz w:val="18"/>
                <w:szCs w:val="18"/>
              </w:rPr>
            </w:pPr>
            <w:r>
              <w:rPr>
                <w:rFonts w:hint="eastAsia" w:ascii="宋体" w:hAnsi="宋体" w:cs="宋体"/>
                <w:bCs/>
                <w:sz w:val="18"/>
                <w:szCs w:val="18"/>
              </w:rPr>
              <w:t xml:space="preserve">需提供投标人自2022年1月1日以来（时间以合同签订日期为准），具有与本项目类似的业绩合同，每提供一份得3分，本项最高得12分。同一项目不重复计分。</w:t>
            </w:r>
            <w:r/>
          </w:p>
          <w:p>
            <w:pPr>
              <w:jc w:val="left"/>
              <w:spacing w:line="288" w:lineRule="auto"/>
              <w:widowControl/>
              <w:rPr>
                <w:rFonts w:ascii="宋体" w:hAnsi="宋体" w:cs="宋体"/>
                <w:b/>
                <w:bCs/>
                <w:sz w:val="18"/>
                <w:szCs w:val="18"/>
              </w:rPr>
            </w:pPr>
            <w:r>
              <w:rPr>
                <w:rFonts w:hint="eastAsia" w:ascii="宋体" w:hAnsi="宋体" w:cs="宋体"/>
                <w:b/>
                <w:bCs/>
                <w:sz w:val="18"/>
                <w:szCs w:val="18"/>
              </w:rPr>
              <w:t xml:space="preserve">评审材料：投标文件中提供完整的业绩合同扫描件加盖投标人公章，未提供或提供不完整、不清晰的不得分。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企业实力</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spacing w:line="288" w:lineRule="auto"/>
              <w:widowControl/>
              <w:rPr>
                <w:rFonts w:ascii="宋体" w:hAnsi="宋体" w:cs="宋体"/>
                <w:b/>
                <w:bCs/>
                <w:sz w:val="18"/>
                <w:szCs w:val="18"/>
              </w:rPr>
            </w:pPr>
            <w:r>
              <w:rPr>
                <w:rFonts w:hint="eastAsia" w:ascii="宋体" w:hAnsi="宋体" w:cs="宋体"/>
                <w:bCs/>
                <w:sz w:val="18"/>
                <w:szCs w:val="18"/>
              </w:rPr>
              <w:t xml:space="preserve">投标人具有有效的质量管理体系认证证书（</w:t>
            </w:r>
            <w:r>
              <w:rPr>
                <w:rFonts w:hint="eastAsia" w:ascii="宋体" w:hAnsi="宋体" w:cs="宋体"/>
                <w:sz w:val="18"/>
                <w:szCs w:val="18"/>
              </w:rPr>
              <w:t xml:space="preserve">ISO 9001</w:t>
            </w:r>
            <w:r>
              <w:rPr>
                <w:rFonts w:hint="eastAsia" w:ascii="宋体" w:hAnsi="宋体" w:cs="宋体"/>
                <w:bCs/>
                <w:sz w:val="18"/>
                <w:szCs w:val="18"/>
              </w:rPr>
              <w:t xml:space="preserve">）、数据治理安全管理体系认证证书（</w:t>
            </w:r>
            <w:r>
              <w:rPr>
                <w:rFonts w:hint="eastAsia" w:ascii="宋体" w:hAnsi="宋体" w:cs="宋体"/>
                <w:sz w:val="18"/>
                <w:szCs w:val="18"/>
              </w:rPr>
              <w:t xml:space="preserve">ISO 38505</w:t>
            </w:r>
            <w:r>
              <w:rPr>
                <w:rFonts w:hint="eastAsia" w:ascii="宋体" w:hAnsi="宋体" w:cs="宋体"/>
                <w:bCs/>
                <w:sz w:val="18"/>
                <w:szCs w:val="18"/>
              </w:rPr>
              <w:t xml:space="preserve">）、职业健康安全管理体系认证证书（</w:t>
            </w:r>
            <w:r>
              <w:rPr>
                <w:rFonts w:hint="eastAsia" w:ascii="宋体" w:hAnsi="宋体" w:cs="宋体"/>
                <w:sz w:val="18"/>
                <w:szCs w:val="18"/>
              </w:rPr>
              <w:t xml:space="preserve">ISO 45001</w:t>
            </w:r>
            <w:r>
              <w:rPr>
                <w:rFonts w:hint="eastAsia" w:ascii="宋体" w:hAnsi="宋体" w:cs="宋体"/>
                <w:bCs/>
                <w:sz w:val="18"/>
                <w:szCs w:val="18"/>
              </w:rPr>
              <w:t xml:space="preserve">）、信息安全管理体系认证证书（</w:t>
            </w:r>
            <w:r>
              <w:rPr>
                <w:rFonts w:hint="eastAsia" w:ascii="宋体" w:hAnsi="宋体" w:cs="宋体"/>
                <w:sz w:val="18"/>
                <w:szCs w:val="18"/>
              </w:rPr>
              <w:t xml:space="preserve">ISO 27001</w:t>
            </w:r>
            <w:r>
              <w:rPr>
                <w:rFonts w:hint="eastAsia" w:ascii="宋体" w:hAnsi="宋体" w:cs="宋体"/>
                <w:bCs/>
                <w:sz w:val="18"/>
                <w:szCs w:val="18"/>
              </w:rPr>
              <w:t xml:space="preserve">）、IT服务管理体系认证证书的（</w:t>
            </w:r>
            <w:r>
              <w:rPr>
                <w:rFonts w:hint="eastAsia" w:ascii="宋体" w:hAnsi="宋体" w:cs="宋体"/>
                <w:color w:val="333333"/>
                <w:sz w:val="18"/>
                <w:szCs w:val="18"/>
                <w:shd w:val="clear" w:color="auto" w:fill="ffffff"/>
              </w:rPr>
              <w:t xml:space="preserve">ISO 20000</w:t>
            </w:r>
            <w:r>
              <w:rPr>
                <w:rFonts w:hint="eastAsia" w:ascii="宋体" w:hAnsi="宋体" w:cs="宋体"/>
                <w:bCs/>
                <w:sz w:val="18"/>
                <w:szCs w:val="18"/>
              </w:rPr>
              <w:t xml:space="preserve">），每提供一项得2分，本项最高得10分。</w:t>
            </w:r>
            <w:r/>
          </w:p>
          <w:p>
            <w:pPr>
              <w:jc w:val="left"/>
              <w:spacing w:line="288" w:lineRule="auto"/>
              <w:widowControl/>
              <w:rPr>
                <w:rFonts w:ascii="宋体" w:hAnsi="宋体" w:cs="宋体"/>
                <w:b/>
                <w:bCs/>
                <w:sz w:val="18"/>
                <w:szCs w:val="18"/>
              </w:rPr>
            </w:pPr>
            <w:r>
              <w:rPr>
                <w:rFonts w:hint="eastAsia" w:ascii="宋体" w:hAnsi="宋体" w:cs="宋体"/>
                <w:b/>
                <w:bCs/>
                <w:sz w:val="18"/>
                <w:szCs w:val="18"/>
              </w:rPr>
              <w:t xml:space="preserve">评审材料：提供有效证书</w:t>
            </w:r>
            <w:r>
              <w:rPr>
                <w:rFonts w:hint="eastAsia" w:ascii="宋体" w:hAnsi="宋体" w:cs="宋体"/>
                <w:b/>
                <w:bCs/>
                <w:sz w:val="18"/>
                <w:szCs w:val="18"/>
              </w:rPr>
              <w:t xml:space="preserve">扫描件并加盖</w:t>
            </w:r>
            <w:r>
              <w:rPr>
                <w:rFonts w:hint="eastAsia" w:ascii="宋体" w:hAnsi="宋体" w:cs="宋体"/>
                <w:b/>
                <w:bCs/>
                <w:sz w:val="18"/>
                <w:szCs w:val="18"/>
              </w:rPr>
              <w:t xml:space="preserve">投标人公章。未提供不得分。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10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项目经理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spacing w:line="288" w:lineRule="auto"/>
              <w:widowControl/>
              <w:rPr>
                <w:rFonts w:ascii="宋体" w:hAnsi="宋体" w:cs="宋体"/>
                <w:bCs/>
                <w:sz w:val="18"/>
                <w:szCs w:val="18"/>
              </w:rPr>
            </w:pPr>
            <w:r>
              <w:rPr>
                <w:rFonts w:hint="eastAsia" w:ascii="宋体" w:hAnsi="宋体" w:cs="宋体"/>
                <w:bCs/>
                <w:sz w:val="18"/>
                <w:szCs w:val="18"/>
              </w:rPr>
              <w:t xml:space="preserve">拟配备本项目经理1名：具有高级系统规划与管理师的得2分；具有高级工程证书的得2分；具有ITSS信息技术应用创新服务经理证书的得2分；本项最高得6分。</w:t>
            </w:r>
            <w:r/>
          </w:p>
          <w:p>
            <w:pPr>
              <w:pStyle w:val="852"/>
              <w:spacing w:line="288" w:lineRule="auto"/>
              <w:rPr>
                <w:rFonts w:ascii="宋体" w:hAnsi="宋体" w:cs="宋体"/>
                <w:b/>
                <w:bCs/>
                <w:sz w:val="18"/>
                <w:szCs w:val="18"/>
              </w:rPr>
            </w:pPr>
            <w:r>
              <w:rPr>
                <w:rFonts w:hint="eastAsia" w:ascii="宋体" w:hAnsi="宋体" w:cs="宋体"/>
                <w:b/>
                <w:bCs/>
                <w:sz w:val="18"/>
                <w:szCs w:val="18"/>
              </w:rPr>
              <w:t xml:space="preserve">评审材料：须为投标单位正式员工。提供投标人为其缴纳的近三个月（2025年8月-2025年10月）中任意一个月的</w:t>
            </w:r>
            <w:r>
              <w:rPr>
                <w:rFonts w:hint="eastAsia" w:ascii="宋体" w:hAnsi="宋体" w:cs="宋体"/>
                <w:b/>
                <w:bCs/>
                <w:sz w:val="18"/>
                <w:szCs w:val="18"/>
              </w:rPr>
              <w:t xml:space="preserve">社保证明</w:t>
            </w:r>
            <w:r>
              <w:rPr>
                <w:rFonts w:hint="eastAsia" w:ascii="宋体" w:hAnsi="宋体" w:cs="宋体"/>
                <w:b/>
                <w:bCs/>
                <w:sz w:val="18"/>
                <w:szCs w:val="18"/>
              </w:rPr>
              <w:t xml:space="preserve">和相应证书扫描件，以上证明材料均需加盖投标人公章。未提供不得分。</w:t>
            </w:r>
            <w:r/>
          </w:p>
          <w:p>
            <w:pPr>
              <w:pStyle w:val="852"/>
              <w:spacing w:line="288" w:lineRule="auto"/>
              <w:rPr>
                <w:rFonts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3</w:t>
            </w: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、3</w:t>
            </w:r>
            <w:r>
              <w:rPr>
                <w:rFonts w:ascii="宋体" w:hAnsi="宋体" w:cs="宋体"/>
                <w:b/>
                <w:bCs/>
                <w:sz w:val="18"/>
                <w:szCs w:val="18"/>
              </w:rPr>
              <w:t xml:space="preserve">.6</w:t>
            </w:r>
            <w:r>
              <w:rPr>
                <w:rFonts w:hint="eastAsia" w:ascii="宋体" w:hAnsi="宋体" w:cs="宋体"/>
                <w:b/>
                <w:bCs/>
                <w:sz w:val="18"/>
                <w:szCs w:val="18"/>
              </w:rPr>
              <w:t xml:space="preserve">所</w:t>
            </w:r>
            <w:r>
              <w:rPr>
                <w:rFonts w:hint="eastAsia" w:ascii="宋体" w:hAnsi="宋体" w:cs="宋体"/>
                <w:b/>
                <w:bCs/>
                <w:sz w:val="18"/>
                <w:szCs w:val="18"/>
              </w:rPr>
              <w:t xml:space="preserve">涉人员</w:t>
            </w:r>
            <w:r>
              <w:rPr>
                <w:rFonts w:hint="eastAsia" w:ascii="宋体" w:hAnsi="宋体" w:cs="宋体"/>
                <w:b/>
                <w:bCs/>
                <w:sz w:val="18"/>
                <w:szCs w:val="18"/>
              </w:rPr>
              <w:t xml:space="preserve">不得为同一人。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技术负责人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spacing w:line="288" w:lineRule="auto"/>
              <w:widowControl/>
              <w:rPr>
                <w:rFonts w:ascii="宋体" w:hAnsi="宋体" w:cs="宋体"/>
                <w:bCs/>
                <w:sz w:val="18"/>
                <w:szCs w:val="18"/>
              </w:rPr>
            </w:pPr>
            <w:r>
              <w:rPr>
                <w:rFonts w:hint="eastAsia" w:ascii="宋体" w:hAnsi="宋体" w:cs="宋体"/>
                <w:bCs/>
                <w:sz w:val="18"/>
                <w:szCs w:val="18"/>
              </w:rPr>
              <w:t xml:space="preserve">拟配备项目技术负责人1名：具有系统架构设计师证书的得2分；具有软件设计师证书的得2分；具有注册信息安全工程师证书的得2分;本项最高得6分。</w:t>
            </w:r>
            <w:r/>
          </w:p>
          <w:p>
            <w:pPr>
              <w:pStyle w:val="852"/>
              <w:spacing w:line="288" w:lineRule="auto"/>
              <w:rPr>
                <w:rFonts w:ascii="宋体" w:hAnsi="宋体" w:cs="宋体"/>
                <w:b/>
                <w:bCs/>
                <w:sz w:val="18"/>
                <w:szCs w:val="18"/>
              </w:rPr>
            </w:pPr>
            <w:r>
              <w:rPr>
                <w:rFonts w:hint="eastAsia" w:ascii="宋体" w:hAnsi="宋体" w:cs="宋体"/>
                <w:b/>
                <w:bCs/>
                <w:sz w:val="18"/>
                <w:szCs w:val="18"/>
              </w:rPr>
              <w:t xml:space="preserve">评审材料：须为投标单位正式员工。提供投标人为其缴纳的近三个月（2025年8月-2025年10月）中任意一个月的</w:t>
            </w:r>
            <w:r>
              <w:rPr>
                <w:rFonts w:hint="eastAsia" w:ascii="宋体" w:hAnsi="宋体" w:cs="宋体"/>
                <w:b/>
                <w:bCs/>
                <w:sz w:val="18"/>
                <w:szCs w:val="18"/>
              </w:rPr>
              <w:t xml:space="preserve">社保证明</w:t>
            </w:r>
            <w:r>
              <w:rPr>
                <w:rFonts w:hint="eastAsia" w:ascii="宋体" w:hAnsi="宋体" w:cs="宋体"/>
                <w:b/>
                <w:bCs/>
                <w:sz w:val="18"/>
                <w:szCs w:val="18"/>
              </w:rPr>
              <w:t xml:space="preserve">和相应证书扫描件，以上证明材料</w:t>
            </w:r>
            <w:r>
              <w:rPr>
                <w:rFonts w:hint="eastAsia" w:ascii="宋体" w:hAnsi="宋体" w:cs="宋体"/>
                <w:b/>
                <w:bCs/>
                <w:sz w:val="18"/>
                <w:szCs w:val="18"/>
              </w:rPr>
              <w:t xml:space="preserve">均需加盖投标人公章。未提供不得分。</w:t>
            </w:r>
            <w:r/>
          </w:p>
          <w:p>
            <w:pPr>
              <w:jc w:val="left"/>
              <w:spacing w:line="288" w:lineRule="auto"/>
              <w:widowControl/>
              <w:rPr>
                <w:rFonts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3</w:t>
            </w: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、3</w:t>
            </w:r>
            <w:r>
              <w:rPr>
                <w:rFonts w:ascii="宋体" w:hAnsi="宋体" w:cs="宋体"/>
                <w:b/>
                <w:bCs/>
                <w:sz w:val="18"/>
                <w:szCs w:val="18"/>
              </w:rPr>
              <w:t xml:space="preserve">.6</w:t>
            </w:r>
            <w:r>
              <w:rPr>
                <w:rFonts w:hint="eastAsia" w:ascii="宋体" w:hAnsi="宋体" w:cs="宋体"/>
                <w:b/>
                <w:bCs/>
                <w:sz w:val="18"/>
                <w:szCs w:val="18"/>
              </w:rPr>
              <w:t xml:space="preserve">所</w:t>
            </w:r>
            <w:r>
              <w:rPr>
                <w:rFonts w:hint="eastAsia" w:ascii="宋体" w:hAnsi="宋体" w:cs="宋体"/>
                <w:b/>
                <w:bCs/>
                <w:sz w:val="18"/>
                <w:szCs w:val="18"/>
              </w:rPr>
              <w:t xml:space="preserve">涉人员</w:t>
            </w:r>
            <w:r>
              <w:rPr>
                <w:rFonts w:hint="eastAsia" w:ascii="宋体" w:hAnsi="宋体" w:cs="宋体"/>
                <w:b/>
                <w:bCs/>
                <w:sz w:val="18"/>
                <w:szCs w:val="18"/>
              </w:rPr>
              <w:t xml:space="preserve">不得为同一人。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项目技术人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spacing w:line="288" w:lineRule="auto"/>
              <w:widowControl/>
              <w:rPr>
                <w:rFonts w:ascii="宋体" w:hAnsi="宋体" w:cs="宋体"/>
                <w:bCs/>
                <w:sz w:val="18"/>
                <w:szCs w:val="18"/>
              </w:rPr>
            </w:pPr>
            <w:r>
              <w:rPr>
                <w:rFonts w:hint="eastAsia" w:ascii="宋体" w:hAnsi="宋体" w:cs="宋体"/>
                <w:bCs/>
                <w:sz w:val="18"/>
                <w:szCs w:val="18"/>
              </w:rPr>
              <w:t xml:space="preserve">拟配备项目技术人员1名：具有中级数据库系统工程师证书的得1分，高级数据库系统工程师证书的得2分；具有高级及以上智能化系统集成项目经理的得2分；具有ITSS信息技术应用创新服务经理证书的得2分；本项最高得6分。</w:t>
            </w:r>
            <w:r/>
          </w:p>
          <w:p>
            <w:pPr>
              <w:pStyle w:val="852"/>
              <w:spacing w:line="288" w:lineRule="auto"/>
              <w:rPr>
                <w:rFonts w:ascii="宋体" w:hAnsi="宋体" w:cs="宋体"/>
                <w:b/>
                <w:bCs/>
                <w:sz w:val="18"/>
                <w:szCs w:val="18"/>
              </w:rPr>
            </w:pPr>
            <w:r>
              <w:rPr>
                <w:rFonts w:hint="eastAsia" w:ascii="宋体" w:hAnsi="宋体" w:cs="宋体"/>
                <w:b/>
                <w:bCs/>
                <w:sz w:val="18"/>
                <w:szCs w:val="18"/>
              </w:rPr>
              <w:t xml:space="preserve">评审材料：须为投标单位正式员工。提供投标人为其缴纳的近三个月（2025年8月-2025年10月）中任意一个月的</w:t>
            </w:r>
            <w:r>
              <w:rPr>
                <w:rFonts w:hint="eastAsia" w:ascii="宋体" w:hAnsi="宋体" w:cs="宋体"/>
                <w:b/>
                <w:bCs/>
                <w:sz w:val="18"/>
                <w:szCs w:val="18"/>
              </w:rPr>
              <w:t xml:space="preserve">社保证明</w:t>
            </w:r>
            <w:r>
              <w:rPr>
                <w:rFonts w:hint="eastAsia" w:ascii="宋体" w:hAnsi="宋体" w:cs="宋体"/>
                <w:b/>
                <w:bCs/>
                <w:sz w:val="18"/>
                <w:szCs w:val="18"/>
              </w:rPr>
              <w:t xml:space="preserve">和相应证书扫描件，以上证明材料均需加盖投标人公章。未提供不得分。</w:t>
            </w:r>
            <w:r/>
          </w:p>
          <w:p>
            <w:pPr>
              <w:jc w:val="left"/>
              <w:spacing w:line="288" w:lineRule="auto"/>
              <w:widowControl/>
              <w:rPr>
                <w:rFonts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3</w:t>
            </w: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、3</w:t>
            </w:r>
            <w:r>
              <w:rPr>
                <w:rFonts w:ascii="宋体" w:hAnsi="宋体" w:cs="宋体"/>
                <w:b/>
                <w:bCs/>
                <w:sz w:val="18"/>
                <w:szCs w:val="18"/>
              </w:rPr>
              <w:t xml:space="preserve">.6</w:t>
            </w:r>
            <w:r>
              <w:rPr>
                <w:rFonts w:hint="eastAsia" w:ascii="宋体" w:hAnsi="宋体" w:cs="宋体"/>
                <w:b/>
                <w:bCs/>
                <w:sz w:val="18"/>
                <w:szCs w:val="18"/>
              </w:rPr>
              <w:t xml:space="preserve">所</w:t>
            </w:r>
            <w:r>
              <w:rPr>
                <w:rFonts w:hint="eastAsia" w:ascii="宋体" w:hAnsi="宋体" w:cs="宋体"/>
                <w:b/>
                <w:bCs/>
                <w:sz w:val="18"/>
                <w:szCs w:val="18"/>
              </w:rPr>
              <w:t xml:space="preserve">涉人员</w:t>
            </w:r>
            <w:r>
              <w:rPr>
                <w:rFonts w:hint="eastAsia" w:ascii="宋体" w:hAnsi="宋体" w:cs="宋体"/>
                <w:b/>
                <w:bCs/>
                <w:sz w:val="18"/>
                <w:szCs w:val="18"/>
              </w:rPr>
              <w:t xml:space="preserve">不得为同一人。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项目运</w:t>
            </w:r>
            <w:r>
              <w:rPr>
                <w:rFonts w:hint="eastAsia" w:ascii="宋体" w:hAnsi="宋体" w:cs="宋体"/>
                <w:b/>
                <w:bCs/>
                <w:sz w:val="18"/>
                <w:szCs w:val="18"/>
              </w:rPr>
              <w:t xml:space="preserve">维人员</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spacing w:line="288" w:lineRule="auto"/>
              <w:widowControl/>
              <w:rPr>
                <w:rFonts w:ascii="宋体" w:hAnsi="宋体" w:cs="宋体"/>
                <w:bCs/>
                <w:sz w:val="18"/>
                <w:szCs w:val="18"/>
              </w:rPr>
            </w:pPr>
            <w:r>
              <w:rPr>
                <w:rFonts w:hint="eastAsia" w:ascii="宋体" w:hAnsi="宋体" w:cs="宋体"/>
                <w:bCs/>
                <w:sz w:val="18"/>
                <w:szCs w:val="18"/>
              </w:rPr>
              <w:t xml:space="preserve">拟配备项目运</w:t>
            </w:r>
            <w:r>
              <w:rPr>
                <w:rFonts w:hint="eastAsia" w:ascii="宋体" w:hAnsi="宋体" w:cs="宋体"/>
                <w:bCs/>
                <w:sz w:val="18"/>
                <w:szCs w:val="18"/>
              </w:rPr>
              <w:t xml:space="preserve">维人员</w:t>
            </w:r>
            <w:r>
              <w:rPr>
                <w:rFonts w:hint="eastAsia" w:ascii="宋体" w:hAnsi="宋体" w:cs="宋体"/>
                <w:bCs/>
                <w:sz w:val="18"/>
                <w:szCs w:val="18"/>
              </w:rPr>
              <w:t xml:space="preserve">1名：具有高级软件设计师证书的得2分；具有高级IT运维工程师证书的得2分，具有CISAW信息安全保障人员证书的得2分；本项最高得6分。</w:t>
            </w:r>
            <w:r/>
          </w:p>
          <w:p>
            <w:pPr>
              <w:pStyle w:val="852"/>
              <w:spacing w:line="288" w:lineRule="auto"/>
              <w:rPr>
                <w:rFonts w:ascii="宋体" w:hAnsi="宋体" w:cs="宋体"/>
                <w:b/>
                <w:bCs/>
                <w:sz w:val="18"/>
                <w:szCs w:val="18"/>
              </w:rPr>
            </w:pPr>
            <w:r>
              <w:rPr>
                <w:rFonts w:hint="eastAsia" w:ascii="宋体" w:hAnsi="宋体" w:cs="宋体"/>
                <w:b/>
                <w:bCs/>
                <w:sz w:val="18"/>
                <w:szCs w:val="18"/>
              </w:rPr>
              <w:t xml:space="preserve">评审材料：须为投标单位正式员工。提供投标人为其缴纳的近三个月（2025年8月-2025年10月）中任意一个月的</w:t>
            </w:r>
            <w:r>
              <w:rPr>
                <w:rFonts w:hint="eastAsia" w:ascii="宋体" w:hAnsi="宋体" w:cs="宋体"/>
                <w:b/>
                <w:bCs/>
                <w:sz w:val="18"/>
                <w:szCs w:val="18"/>
              </w:rPr>
              <w:t xml:space="preserve">社保证明</w:t>
            </w:r>
            <w:r>
              <w:rPr>
                <w:rFonts w:hint="eastAsia" w:ascii="宋体" w:hAnsi="宋体" w:cs="宋体"/>
                <w:b/>
                <w:bCs/>
                <w:sz w:val="18"/>
                <w:szCs w:val="18"/>
              </w:rPr>
              <w:t xml:space="preserve">和相应证书扫描件，以上证明材料均需加盖投标人公章。未提供不得分。</w:t>
            </w:r>
            <w:r/>
          </w:p>
          <w:p>
            <w:pPr>
              <w:jc w:val="left"/>
              <w:spacing w:line="288" w:lineRule="auto"/>
              <w:widowControl/>
              <w:rPr>
                <w:rFonts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3</w:t>
            </w: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、3</w:t>
            </w:r>
            <w:r>
              <w:rPr>
                <w:rFonts w:ascii="宋体" w:hAnsi="宋体" w:cs="宋体"/>
                <w:b/>
                <w:bCs/>
                <w:sz w:val="18"/>
                <w:szCs w:val="18"/>
              </w:rPr>
              <w:t xml:space="preserve">.6</w:t>
            </w:r>
            <w:r>
              <w:rPr>
                <w:rFonts w:hint="eastAsia" w:ascii="宋体" w:hAnsi="宋体" w:cs="宋体"/>
                <w:b/>
                <w:bCs/>
                <w:sz w:val="18"/>
                <w:szCs w:val="18"/>
              </w:rPr>
              <w:t xml:space="preserve">所</w:t>
            </w:r>
            <w:r>
              <w:rPr>
                <w:rFonts w:hint="eastAsia" w:ascii="宋体" w:hAnsi="宋体" w:cs="宋体"/>
                <w:b/>
                <w:bCs/>
                <w:sz w:val="18"/>
                <w:szCs w:val="18"/>
              </w:rPr>
              <w:t xml:space="preserve">涉人员</w:t>
            </w:r>
            <w:r>
              <w:rPr>
                <w:rFonts w:hint="eastAsia" w:ascii="宋体" w:hAnsi="宋体" w:cs="宋体"/>
                <w:b/>
                <w:bCs/>
                <w:sz w:val="18"/>
                <w:szCs w:val="18"/>
              </w:rPr>
              <w:t xml:space="preserve">不得为同一人。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保障措施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spacing w:line="288" w:lineRule="auto"/>
              <w:widowControl/>
              <w:rPr>
                <w:rFonts w:ascii="宋体" w:hAnsi="宋体" w:cs="宋体"/>
                <w:bCs/>
                <w:sz w:val="18"/>
                <w:szCs w:val="18"/>
              </w:rPr>
            </w:pPr>
            <w:r>
              <w:rPr>
                <w:rFonts w:hint="eastAsia" w:ascii="宋体" w:hAnsi="宋体" w:cs="宋体"/>
                <w:bCs/>
                <w:sz w:val="18"/>
                <w:szCs w:val="18"/>
              </w:rPr>
              <w:t xml:space="preserve">本项目所投平台应与常州市城市运行管理服务平台和新北区城市运行管理服务平台完全匹配、无缝对接，投标人承诺所投平台能与常州市城市运行管理服务平台和新北区城市运行管理服务平台完全匹配、无缝对接的得2分。</w:t>
            </w:r>
            <w:r/>
          </w:p>
          <w:p>
            <w:pPr>
              <w:jc w:val="left"/>
              <w:spacing w:line="288" w:lineRule="auto"/>
              <w:widowControl/>
              <w:rPr>
                <w:rFonts w:ascii="宋体" w:hAnsi="宋体" w:cs="宋体"/>
                <w:b/>
                <w:bCs/>
                <w:sz w:val="18"/>
                <w:szCs w:val="18"/>
              </w:rPr>
            </w:pPr>
            <w:r>
              <w:rPr>
                <w:rFonts w:hint="eastAsia" w:ascii="宋体" w:hAnsi="宋体" w:cs="宋体"/>
                <w:b/>
                <w:bCs/>
                <w:sz w:val="18"/>
                <w:szCs w:val="18"/>
              </w:rPr>
              <w:t xml:space="preserve">评审材料：投标人提供承诺书，格式自拟，并加盖投标人公章。未提供或提供内容不符合要求不得分。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spacing w:line="288" w:lineRule="auto"/>
              <w:widowControl/>
              <w:rPr>
                <w:rFonts w:ascii="宋体" w:hAnsi="宋体" w:cs="宋体"/>
                <w:b/>
                <w:bCs/>
                <w:sz w:val="18"/>
                <w:szCs w:val="18"/>
              </w:rPr>
            </w:pP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质</w:t>
            </w:r>
            <w:r>
              <w:rPr>
                <w:rFonts w:hint="eastAsia" w:ascii="宋体" w:hAnsi="宋体" w:cs="宋体"/>
                <w:b/>
                <w:bCs/>
                <w:sz w:val="18"/>
                <w:szCs w:val="18"/>
              </w:rPr>
              <w:t xml:space="preserve">保承诺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spacing w:line="288" w:lineRule="auto"/>
              <w:widowControl/>
              <w:rPr>
                <w:rFonts w:ascii="宋体" w:hAnsi="宋体" w:cs="宋体"/>
                <w:bCs/>
                <w:sz w:val="18"/>
                <w:szCs w:val="18"/>
              </w:rPr>
            </w:pPr>
            <w:r>
              <w:rPr>
                <w:rFonts w:hint="eastAsia" w:ascii="宋体" w:hAnsi="宋体" w:cs="宋体"/>
                <w:bCs/>
                <w:sz w:val="18"/>
                <w:szCs w:val="18"/>
              </w:rPr>
              <w:t xml:space="preserve">在平台运行维护质保三年的基础上，投标人承诺对全部项目延长质保，每延长一年得1分，本项最高得2分。</w:t>
            </w:r>
            <w:r/>
          </w:p>
          <w:p>
            <w:pPr>
              <w:jc w:val="left"/>
              <w:spacing w:line="288" w:lineRule="auto"/>
              <w:widowControl/>
              <w:rPr>
                <w:rFonts w:ascii="宋体" w:hAnsi="宋体" w:cs="宋体"/>
                <w:bCs/>
                <w:sz w:val="18"/>
                <w:szCs w:val="18"/>
              </w:rPr>
            </w:pPr>
            <w:r>
              <w:rPr>
                <w:rFonts w:hint="eastAsia" w:ascii="宋体" w:hAnsi="宋体" w:cs="宋体"/>
                <w:b/>
                <w:bCs/>
                <w:sz w:val="18"/>
                <w:szCs w:val="18"/>
              </w:rPr>
              <w:t xml:space="preserve">评审材料：投标人提供承诺书，格式自拟，并加盖投标人公章。未提供或提供内容不符合要求不得分。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spacing w:line="288" w:lineRule="auto"/>
              <w:widowControl/>
              <w:rPr>
                <w:rFonts w:ascii="宋体" w:hAnsi="宋体" w:cs="宋体"/>
                <w:b/>
                <w:bCs/>
                <w:sz w:val="18"/>
                <w:szCs w:val="18"/>
              </w:rPr>
            </w:pPr>
            <w:r>
              <w:rPr>
                <w:rFonts w:hint="eastAsia" w:ascii="宋体" w:hAnsi="宋体" w:cs="宋体"/>
                <w:b/>
                <w:bCs/>
                <w:sz w:val="18"/>
                <w:szCs w:val="18"/>
              </w:rPr>
              <w:t xml:space="preserve">是</w:t>
            </w:r>
            <w:r/>
          </w:p>
        </w:tc>
      </w:tr>
    </w:tbl>
    <w:p>
      <w:pPr>
        <w:pStyle w:val="925"/>
        <w:spacing w:line="0" w:lineRule="atLeast"/>
        <w:rPr>
          <w:rFonts w:ascii="宋体" w:hAnsi="宋体"/>
        </w:rPr>
      </w:pPr>
      <w:r>
        <w:rPr>
          <w:rFonts w:ascii="宋体" w:hAnsi="宋体"/>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jc w:val="center"/>
        <w:keepNext/>
        <w:rPr>
          <w:rFonts w:ascii="黑体" w:hAnsi="Times New Roman" w:eastAsia="黑体"/>
          <w:bCs/>
          <w:sz w:val="44"/>
          <w:szCs w:val="28"/>
        </w:rPr>
        <w:outlineLvl w:val="0"/>
      </w:pPr>
      <w:r>
        <w:rPr>
          <w:rFonts w:hint="eastAsia" w:ascii="黑体" w:hAnsi="Times New Roman" w:eastAsia="黑体"/>
          <w:bCs/>
          <w:sz w:val="44"/>
          <w:szCs w:val="28"/>
        </w:rPr>
        <w:t xml:space="preserve">第六章  </w:t>
      </w:r>
      <w:bookmarkEnd w:id="172"/>
      <w:r/>
      <w:bookmarkEnd w:id="173"/>
      <w:r/>
      <w:bookmarkEnd w:id="176"/>
      <w:r>
        <w:rPr>
          <w:rFonts w:hint="eastAsia" w:ascii="黑体" w:hAnsi="Times New Roman" w:eastAsia="黑体"/>
          <w:bCs/>
          <w:sz w:val="44"/>
          <w:szCs w:val="28"/>
        </w:rPr>
        <w:t xml:space="preserve">响应文件格式 </w:t>
      </w:r>
      <w:r/>
    </w:p>
    <w:p>
      <w:pPr>
        <w:jc w:val="center"/>
        <w:rPr>
          <w:rFonts w:ascii="宋体" w:hAnsi="宋体"/>
          <w:b/>
          <w:sz w:val="72"/>
          <w:szCs w:val="21"/>
        </w:rPr>
      </w:pPr>
      <w:r/>
      <w:bookmarkStart w:id="181" w:name="_Hlt26955039"/>
      <w:r/>
      <w:bookmarkStart w:id="182" w:name="_Hlt26671244"/>
      <w:r/>
      <w:bookmarkStart w:id="183" w:name="_Toc26554094"/>
      <w:r/>
      <w:bookmarkStart w:id="184" w:name="_Toc120614282"/>
      <w:r/>
      <w:bookmarkStart w:id="185" w:name="_Toc49090576"/>
      <w:r/>
      <w:bookmarkEnd w:id="181"/>
      <w:r/>
      <w:bookmarkEnd w:id="182"/>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rPr>
          <w:rFonts w:ascii="宋体" w:hAnsi="宋体"/>
          <w:b/>
          <w:bCs/>
          <w:sz w:val="32"/>
          <w:szCs w:val="32"/>
        </w:rPr>
      </w:pPr>
      <w:r>
        <w:rPr>
          <w:rFonts w:ascii="宋体" w:hAnsi="宋体"/>
          <w:b/>
          <w:sz w:val="36"/>
          <w:szCs w:val="21"/>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响应文件主要格式目录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440" w:lineRule="exact"/>
        <w:rPr>
          <w:rFonts w:ascii="宋体" w:hAnsi="宋体"/>
          <w:i/>
          <w:sz w:val="24"/>
          <w:u w:val="single"/>
        </w:rPr>
      </w:pPr>
      <w:r>
        <w:rPr>
          <w:rFonts w:hint="eastAsia" w:ascii="宋体" w:hAnsi="宋体"/>
          <w:i/>
          <w:sz w:val="24"/>
          <w:u w:val="single"/>
        </w:rPr>
        <w:t xml:space="preserve">一、供应商资格声明函</w:t>
      </w:r>
      <w:r/>
    </w:p>
    <w:p>
      <w:pPr>
        <w:ind w:firstLine="480"/>
        <w:spacing w:line="440" w:lineRule="exact"/>
        <w:rPr>
          <w:rFonts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三、法人授权书</w:t>
      </w:r>
      <w:r/>
    </w:p>
    <w:p>
      <w:pPr>
        <w:ind w:firstLine="480"/>
        <w:spacing w:line="440" w:lineRule="exact"/>
        <w:rPr>
          <w:rFonts w:ascii="宋体" w:hAnsi="宋体"/>
          <w:i/>
          <w:sz w:val="24"/>
          <w:u w:val="single"/>
        </w:rPr>
      </w:pPr>
      <w:r>
        <w:rPr>
          <w:rFonts w:hint="eastAsia" w:ascii="宋体" w:hAnsi="宋体"/>
          <w:i/>
          <w:sz w:val="24"/>
          <w:u w:val="single"/>
        </w:rPr>
        <w:t xml:space="preserve">四、投标函</w:t>
      </w:r>
      <w:r/>
    </w:p>
    <w:p>
      <w:pPr>
        <w:ind w:firstLine="480"/>
        <w:spacing w:line="440" w:lineRule="exact"/>
        <w:rPr>
          <w:rFonts w:ascii="宋体" w:hAnsi="宋体"/>
          <w:sz w:val="24"/>
        </w:rPr>
      </w:pPr>
      <w:r>
        <w:rPr>
          <w:rFonts w:hint="eastAsia" w:ascii="宋体" w:hAnsi="宋体"/>
          <w:sz w:val="24"/>
        </w:rPr>
        <w:t xml:space="preserve">五、小</w:t>
      </w:r>
      <w:r>
        <w:rPr>
          <w:rFonts w:hint="eastAsia" w:ascii="宋体" w:hAnsi="宋体"/>
          <w:sz w:val="24"/>
        </w:rPr>
        <w:t xml:space="preserve">微企业</w:t>
      </w:r>
      <w:r>
        <w:rPr>
          <w:rFonts w:hint="eastAsia" w:ascii="宋体" w:hAnsi="宋体"/>
          <w:sz w:val="24"/>
        </w:rPr>
        <w:t xml:space="preserve">声明函</w:t>
      </w:r>
      <w:r/>
    </w:p>
    <w:p>
      <w:pPr>
        <w:ind w:firstLine="480"/>
        <w:spacing w:line="440" w:lineRule="exact"/>
        <w:rPr>
          <w:rFonts w:ascii="宋体" w:hAnsi="宋体"/>
          <w:sz w:val="24"/>
        </w:rPr>
      </w:pPr>
      <w:r>
        <w:rPr>
          <w:rFonts w:hint="eastAsia" w:ascii="宋体" w:hAnsi="宋体"/>
          <w:sz w:val="24"/>
        </w:rPr>
        <w:t xml:space="preserve">六、残疾人福利性单位声明函或监狱企业证明</w:t>
      </w:r>
      <w:r/>
    </w:p>
    <w:p>
      <w:pPr>
        <w:ind w:firstLine="480"/>
        <w:spacing w:line="440" w:lineRule="exact"/>
        <w:rPr>
          <w:rFonts w:ascii="宋体" w:hAnsi="宋体"/>
          <w:sz w:val="24"/>
        </w:rPr>
      </w:pPr>
      <w:r>
        <w:rPr>
          <w:rFonts w:hint="eastAsia" w:ascii="宋体" w:hAnsi="宋体"/>
          <w:sz w:val="24"/>
        </w:rPr>
        <w:t xml:space="preserve">七、联合体协议</w:t>
      </w:r>
      <w:r/>
    </w:p>
    <w:p>
      <w:pPr>
        <w:ind w:firstLine="480"/>
        <w:spacing w:line="440" w:lineRule="exact"/>
        <w:rPr>
          <w:rFonts w:ascii="宋体" w:hAnsi="宋体"/>
          <w:i/>
          <w:sz w:val="24"/>
          <w:u w:val="single"/>
        </w:rPr>
      </w:pPr>
      <w:r>
        <w:rPr>
          <w:rFonts w:hint="eastAsia" w:ascii="宋体" w:hAnsi="宋体"/>
          <w:i/>
          <w:sz w:val="24"/>
          <w:u w:val="single"/>
        </w:rPr>
        <w:t xml:space="preserve">八、分项报价表</w:t>
      </w:r>
      <w:r/>
    </w:p>
    <w:p>
      <w:pPr>
        <w:ind w:firstLine="480"/>
        <w:spacing w:line="440" w:lineRule="exact"/>
        <w:rPr>
          <w:rFonts w:ascii="宋体" w:hAnsi="宋体"/>
          <w:sz w:val="24"/>
        </w:rPr>
      </w:pPr>
      <w:r>
        <w:rPr>
          <w:rFonts w:hint="eastAsia" w:ascii="宋体" w:hAnsi="宋体"/>
          <w:sz w:val="24"/>
        </w:rPr>
        <w:t xml:space="preserve">九、技术要求响应及偏离表</w:t>
      </w:r>
      <w:r/>
    </w:p>
    <w:p>
      <w:pPr>
        <w:ind w:firstLine="480"/>
        <w:spacing w:line="440" w:lineRule="exact"/>
        <w:rPr>
          <w:rFonts w:ascii="宋体" w:hAnsi="宋体"/>
          <w:sz w:val="24"/>
        </w:rPr>
      </w:pPr>
      <w:r>
        <w:rPr>
          <w:rFonts w:hint="eastAsia" w:ascii="宋体" w:hAnsi="宋体"/>
          <w:sz w:val="24"/>
        </w:rPr>
        <w:t xml:space="preserve">十、商务要求响应及偏离表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十一、响应一览表</w:t>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bookmarkStart w:id="186" w:name="_Toc120614284"/>
      <w:r/>
      <w:bookmarkEnd w:id="183"/>
      <w:r/>
      <w:bookmarkEnd w:id="184"/>
      <w:r/>
      <w:bookmarkEnd w:id="185"/>
      <w:r>
        <w:rPr>
          <w:rFonts w:hint="eastAsia" w:ascii="黑体" w:hAnsi="黑体" w:eastAsia="黑体"/>
          <w:i/>
          <w:sz w:val="32"/>
          <w:szCs w:val="32"/>
          <w:u w:val="single"/>
        </w:rPr>
        <w:t xml:space="preserve">一、供应商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ascii="宋体" w:hAnsi="宋体" w:cs="宋体"/>
          <w:b/>
          <w:sz w:val="28"/>
          <w:szCs w:val="28"/>
        </w:rPr>
      </w:pPr>
      <w:r>
        <w:rPr>
          <w:rFonts w:ascii="宋体" w:hAnsi="宋体" w:cs="宋体"/>
          <w:b/>
          <w:sz w:val="28"/>
          <w:szCs w:val="28"/>
        </w:rPr>
      </w:r>
      <w:r/>
    </w:p>
    <w:p>
      <w:pPr>
        <w:jc w:val="center"/>
        <w:spacing w:before="156" w:line="360" w:lineRule="auto"/>
        <w:widowControl/>
        <w:rPr>
          <w:rFonts w:ascii="宋体" w:hAnsi="宋体" w:cs="宋体"/>
        </w:rPr>
      </w:pPr>
      <w:r>
        <w:rPr>
          <w:rFonts w:hint="eastAsia" w:ascii="宋体" w:hAnsi="宋体" w:cs="宋体"/>
          <w:b/>
          <w:sz w:val="28"/>
          <w:szCs w:val="28"/>
        </w:rPr>
        <w:t xml:space="preserve">供应商资格声明函</w:t>
      </w:r>
      <w:r/>
    </w:p>
    <w:p>
      <w:pPr>
        <w:pStyle w:val="848"/>
        <w:ind w:firstLine="480"/>
        <w:spacing w:line="460" w:lineRule="exact"/>
      </w:pPr>
      <w:r/>
      <w:r/>
    </w:p>
    <w:p>
      <w:pPr>
        <w:pStyle w:val="848"/>
        <w:ind w:firstLine="480"/>
        <w:spacing w:line="460" w:lineRule="exact"/>
      </w:pPr>
      <w:r>
        <w:rPr>
          <w:rFonts w:hint="eastAsia"/>
        </w:rPr>
        <w:t xml:space="preserve">致：常州市政府采购中心</w:t>
      </w:r>
      <w:r/>
    </w:p>
    <w:p>
      <w:pPr>
        <w:pStyle w:val="848"/>
        <w:ind w:firstLine="840"/>
        <w:spacing w:line="460" w:lineRule="exact"/>
        <w:rPr>
          <w:u w:val="single"/>
        </w:rPr>
      </w:pPr>
      <w:r>
        <w:rPr>
          <w:rFonts w:hint="eastAsia"/>
          <w:u w:val="single"/>
        </w:rPr>
        <w:t xml:space="preserve">（采购人名称）</w:t>
      </w:r>
      <w:r/>
    </w:p>
    <w:p>
      <w:pPr>
        <w:pStyle w:val="848"/>
        <w:ind w:firstLine="480"/>
        <w:spacing w:line="460" w:lineRule="exact"/>
      </w:pPr>
      <w:r/>
      <w:r/>
    </w:p>
    <w:p>
      <w:pPr>
        <w:pStyle w:val="848"/>
        <w:ind w:firstLine="480"/>
        <w:spacing w:line="460" w:lineRule="exact"/>
      </w:pPr>
      <w:r>
        <w:rPr>
          <w:rFonts w:hint="eastAsia"/>
        </w:rPr>
        <w:t xml:space="preserve">按照《中华人民共和国政府采购法》第二十二条和招标文件的规定，我单位郑重声明如下：</w:t>
      </w:r>
      <w:r/>
    </w:p>
    <w:p>
      <w:pPr>
        <w:pStyle w:val="84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48"/>
        <w:ind w:firstLine="480"/>
        <w:spacing w:line="460" w:lineRule="exact"/>
      </w:pPr>
      <w:r>
        <w:rPr>
          <w:rFonts w:hint="eastAsia"/>
        </w:rPr>
        <w:t xml:space="preserve">二、我单位具有良好的商业信誉（指供应商经营状况良好，无本资格声明第十条情形）和健全的财务会计制度。</w:t>
      </w:r>
      <w:r/>
    </w:p>
    <w:p>
      <w:pPr>
        <w:pStyle w:val="848"/>
        <w:ind w:firstLine="480"/>
        <w:spacing w:line="460" w:lineRule="exact"/>
      </w:pPr>
      <w:r>
        <w:rPr>
          <w:rFonts w:hint="eastAsia"/>
        </w:rPr>
        <w:t xml:space="preserve">三、我单位依法进行纳税和社会保险申报并实际履行了义务。</w:t>
      </w:r>
      <w:r/>
    </w:p>
    <w:p>
      <w:pPr>
        <w:pStyle w:val="84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48"/>
        <w:ind w:firstLine="480"/>
        <w:spacing w:line="460" w:lineRule="exact"/>
      </w:pPr>
      <w:r>
        <w:rPr>
          <w:rFonts w:hint="eastAsia"/>
        </w:rPr>
        <w:t xml:space="preserve">主要设备有：</w:t>
      </w:r>
      <w:r>
        <w:rPr>
          <w:u w:val="single"/>
        </w:rPr>
        <w:t xml:space="preserve">            </w:t>
      </w:r>
      <w:r/>
    </w:p>
    <w:p>
      <w:pPr>
        <w:pStyle w:val="848"/>
        <w:ind w:firstLine="480"/>
        <w:spacing w:line="460" w:lineRule="exact"/>
      </w:pPr>
      <w:r>
        <w:rPr>
          <w:rFonts w:hint="eastAsia"/>
        </w:rPr>
        <w:t xml:space="preserve">主要专业技术能力有</w:t>
      </w:r>
      <w:r>
        <w:rPr>
          <w:rFonts w:hint="eastAsia"/>
          <w:u w:val="single"/>
        </w:rPr>
        <w:t xml:space="preserve">                 </w:t>
      </w:r>
      <w:r/>
    </w:p>
    <w:p>
      <w:pPr>
        <w:pStyle w:val="84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48"/>
        <w:ind w:firstLine="480"/>
        <w:spacing w:line="460" w:lineRule="exact"/>
      </w:pPr>
      <w:r>
        <w:rPr>
          <w:rFonts w:hint="eastAsia"/>
        </w:rPr>
        <w:t xml:space="preserve">六、我单位具备法律、行政法规规定的其他条件。</w:t>
      </w:r>
      <w:r/>
    </w:p>
    <w:p>
      <w:pPr>
        <w:pStyle w:val="84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4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4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4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4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不属于为本项目提供整体设计、规范编制或者项目管理、监理、检测等服务的供应商。</w:t>
      </w:r>
      <w:r/>
    </w:p>
    <w:p>
      <w:pPr>
        <w:pStyle w:val="848"/>
        <w:ind w:firstLine="480"/>
        <w:spacing w:line="460" w:lineRule="exact"/>
      </w:pPr>
      <w:r>
        <w:rPr>
          <w:rFonts w:hint="eastAsia"/>
        </w:rPr>
        <w:t xml:space="preserve">九、</w:t>
      </w:r>
      <w:r>
        <w:t xml:space="preserve">我单位</w:t>
      </w:r>
      <w:r>
        <w:t xml:space="preserve">无以下</w:t>
      </w:r>
      <w:r>
        <w:t xml:space="preserve">不良信用记录情形：</w:t>
      </w:r>
      <w:r/>
    </w:p>
    <w:p>
      <w:pPr>
        <w:pStyle w:val="848"/>
        <w:ind w:firstLine="480"/>
        <w:spacing w:line="460" w:lineRule="exact"/>
      </w:pPr>
      <w:r>
        <w:t xml:space="preserve">1</w:t>
      </w:r>
      <w:r>
        <w:rPr>
          <w:rFonts w:hint="eastAsia"/>
        </w:rPr>
        <w:t xml:space="preserve">、在“信用中国”网站被列入失信被执行人和重大税收违法案件当事人名单；</w:t>
      </w:r>
      <w:r/>
    </w:p>
    <w:p>
      <w:pPr>
        <w:pStyle w:val="848"/>
        <w:ind w:firstLine="480"/>
        <w:spacing w:line="460" w:lineRule="exact"/>
      </w:pPr>
      <w:r>
        <w:t xml:space="preserve">2</w:t>
      </w:r>
      <w:r>
        <w:rPr>
          <w:rFonts w:hint="eastAsia"/>
        </w:rPr>
        <w:t xml:space="preserve">、在“中国政府采购网”网站被列入政府采购严重违法失信行为记录名单；</w:t>
      </w:r>
      <w:r/>
    </w:p>
    <w:p>
      <w:pPr>
        <w:pStyle w:val="848"/>
        <w:ind w:firstLine="480"/>
        <w:spacing w:line="460" w:lineRule="exact"/>
      </w:pPr>
      <w:r>
        <w:t xml:space="preserve">3</w:t>
      </w:r>
      <w:r>
        <w:rPr>
          <w:rFonts w:hint="eastAsia"/>
        </w:rPr>
        <w:t xml:space="preserve">、</w:t>
      </w:r>
      <w:r>
        <w:t xml:space="preserve">不符合《政府采购法》第二十二条规定的条件。</w:t>
      </w:r>
      <w:r/>
    </w:p>
    <w:p>
      <w:pPr>
        <w:pStyle w:val="848"/>
        <w:ind w:firstLine="480"/>
        <w:spacing w:line="460" w:lineRule="exact"/>
      </w:pPr>
      <w:r/>
      <w:r/>
    </w:p>
    <w:p>
      <w:pPr>
        <w:pStyle w:val="84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48"/>
        <w:ind w:firstLine="480"/>
        <w:spacing w:line="460" w:lineRule="exact"/>
      </w:pPr>
      <w:r/>
      <w:r/>
    </w:p>
    <w:p>
      <w:pPr>
        <w:pStyle w:val="848"/>
        <w:ind w:firstLine="480"/>
        <w:spacing w:line="460" w:lineRule="exact"/>
      </w:pPr>
      <w:r/>
      <w:r/>
    </w:p>
    <w:p>
      <w:pPr>
        <w:pStyle w:val="848"/>
        <w:ind w:firstLine="480"/>
        <w:spacing w:line="460" w:lineRule="exact"/>
      </w:pPr>
      <w:r>
        <w:rPr>
          <w:rFonts w:hint="eastAsia"/>
        </w:rPr>
        <w:t xml:space="preserve">                                            供应商：（加盖公章）</w:t>
      </w:r>
      <w:r/>
    </w:p>
    <w:p>
      <w:pPr>
        <w:pStyle w:val="848"/>
        <w:ind w:firstLine="480"/>
        <w:spacing w:line="460" w:lineRule="exact"/>
      </w:pPr>
      <w:r>
        <w:rPr>
          <w:rFonts w:hint="eastAsia"/>
        </w:rPr>
        <w:t xml:space="preserve">                                           法定代表人（或单位负责人）签字或盖章：</w:t>
      </w:r>
      <w:r/>
    </w:p>
    <w:p>
      <w:pPr>
        <w:pStyle w:val="848"/>
        <w:ind w:firstLine="4305"/>
        <w:spacing w:line="460" w:lineRule="exact"/>
      </w:pPr>
      <w:r>
        <w:rPr>
          <w:rFonts w:hint="eastAsia"/>
        </w:rPr>
        <w:t xml:space="preserve">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9"/>
          <w:footerReference w:type="first" r:id="rId10"/>
          <w:footnotePr/>
          <w:endnotePr/>
          <w:type w:val="nextPage"/>
          <w:pgSz w:w="11906" w:h="16838" w:orient="portrait"/>
          <w:pgMar w:top="1440" w:right="1080" w:bottom="1440" w:left="1080" w:header="851" w:footer="992" w:gutter="0"/>
          <w:cols w:num="1" w:sep="0" w:space="720" w:equalWidth="1"/>
          <w:docGrid w:linePitch="360"/>
        </w:sectPr>
      </w:pPr>
      <w:r>
        <w:rPr>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19"/>
        <w:ind w:left="480"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（供应商名称）授权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919"/>
        <w:ind w:left="480"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19"/>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919"/>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919"/>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19"/>
        <w:ind w:left="480"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919"/>
        <w:ind w:left="480" w:firstLine="480"/>
        <w:rPr>
          <w:sz w:val="24"/>
          <w:szCs w:val="24"/>
          <w:u w:val="single"/>
        </w:rPr>
      </w:pPr>
      <w:r>
        <w:rPr>
          <w:rFonts w:hint="eastAsia"/>
          <w:sz w:val="24"/>
          <w:szCs w:val="24"/>
        </w:rPr>
        <w:t xml:space="preserve">      </w:t>
      </w:r>
      <w:r>
        <w:rPr>
          <w:rFonts w:hint="eastAsia"/>
          <w:sz w:val="24"/>
          <w:szCs w:val="24"/>
        </w:rPr>
        <w:t xml:space="preserve">日期：</w:t>
      </w:r>
      <w:bookmarkStart w:id="187" w:name="_格式3__银行出具的资信证明"/>
      <w:r/>
      <w:bookmarkStart w:id="188" w:name="_Hlt26671380"/>
      <w:r/>
      <w:bookmarkStart w:id="189" w:name="_Hlt26955070"/>
      <w:r/>
      <w:bookmarkEnd w:id="187"/>
      <w:r/>
      <w:bookmarkEnd w:id="188"/>
      <w:r/>
      <w:bookmarkEnd w:id="189"/>
      <w:r>
        <w:rPr>
          <w:rFonts w:hint="eastAsia"/>
          <w:sz w:val="24"/>
          <w:szCs w:val="24"/>
          <w:u w:val="single"/>
        </w:rPr>
        <w:t xml:space="preserve">                                         </w:t>
      </w:r>
      <w:r/>
    </w:p>
    <w:p>
      <w:pPr>
        <w:pStyle w:val="919"/>
        <w:ind w:left="480" w:firstLine="480"/>
        <w:rPr>
          <w:sz w:val="24"/>
          <w:szCs w:val="24"/>
          <w:u w:val="single"/>
        </w:rPr>
      </w:pPr>
      <w:r>
        <w:rPr>
          <w:sz w:val="24"/>
          <w:szCs w:val="24"/>
          <w:u w:val="single"/>
        </w:rPr>
      </w:r>
      <w:r/>
    </w:p>
    <w:p>
      <w:pPr>
        <w:pStyle w:val="919"/>
        <w:ind w:left="480" w:firstLine="480"/>
        <w:rPr>
          <w:sz w:val="24"/>
          <w:szCs w:val="24"/>
          <w:u w:val="single"/>
        </w:rPr>
      </w:pPr>
      <w:r>
        <w:rPr>
          <w:sz w:val="24"/>
          <w:szCs w:val="24"/>
          <w:u w:val="single"/>
        </w:rPr>
      </w:r>
      <w:r/>
    </w:p>
    <w:p>
      <w:pPr>
        <w:pStyle w:val="919"/>
        <w:ind w:left="480" w:firstLine="480"/>
        <w:rPr>
          <w:sz w:val="24"/>
          <w:szCs w:val="24"/>
          <w:u w:val="single"/>
        </w:rPr>
      </w:pPr>
      <w:r>
        <w:rPr>
          <w:sz w:val="24"/>
          <w:szCs w:val="24"/>
          <w:u w:val="single"/>
        </w:rPr>
      </w:r>
      <w:r/>
    </w:p>
    <w:p>
      <w:pPr>
        <w:pStyle w:val="919"/>
        <w:ind w:left="480" w:firstLine="480"/>
        <w:rPr>
          <w:sz w:val="24"/>
          <w:szCs w:val="24"/>
          <w:u w:val="single"/>
        </w:rPr>
      </w:pPr>
      <w:r>
        <w:rPr>
          <w:sz w:val="24"/>
          <w:szCs w:val="24"/>
          <w:u w:val="single"/>
        </w:rPr>
      </w:r>
      <w:r/>
    </w:p>
    <w:p>
      <w:pPr>
        <w:pStyle w:val="919"/>
        <w:ind w:left="480" w:firstLine="480"/>
        <w:rPr>
          <w:sz w:val="24"/>
          <w:szCs w:val="24"/>
          <w:u w:val="single"/>
        </w:rPr>
      </w:pPr>
      <w:r>
        <w:rPr>
          <w:sz w:val="24"/>
          <w:szCs w:val="24"/>
          <w:u w:val="single"/>
        </w:rPr>
      </w:r>
      <w:r/>
    </w:p>
    <w:p>
      <w:pPr>
        <w:pStyle w:val="919"/>
        <w:ind w:left="480" w:firstLine="480"/>
        <w:rPr>
          <w:sz w:val="24"/>
          <w:szCs w:val="24"/>
          <w:u w:val="single"/>
        </w:rPr>
      </w:pPr>
      <w:r>
        <w:rPr>
          <w:sz w:val="24"/>
          <w:szCs w:val="24"/>
          <w:u w:val="single"/>
        </w:rPr>
      </w:r>
      <w:r/>
    </w:p>
    <w:p>
      <w:pPr>
        <w:pStyle w:val="919"/>
        <w:ind w:left="480" w:firstLine="480"/>
        <w:rPr>
          <w:sz w:val="24"/>
          <w:szCs w:val="24"/>
          <w:u w:val="single"/>
        </w:rPr>
      </w:pPr>
      <w:r>
        <w:rPr>
          <w:sz w:val="24"/>
          <w:szCs w:val="24"/>
          <w:u w:val="single"/>
        </w:rPr>
      </w:r>
      <w:r/>
    </w:p>
    <w:p>
      <w:pPr>
        <w:pStyle w:val="919"/>
        <w:ind w:left="480" w:firstLine="480"/>
        <w:rPr>
          <w:sz w:val="24"/>
          <w:szCs w:val="24"/>
          <w:u w:val="single"/>
        </w:rPr>
      </w:pPr>
      <w:r>
        <w:rPr>
          <w:sz w:val="24"/>
          <w:szCs w:val="24"/>
          <w:u w:val="single"/>
        </w:rPr>
      </w:r>
      <w:r/>
    </w:p>
    <w:p>
      <w:pPr>
        <w:pStyle w:val="919"/>
        <w:ind w:left="480" w:firstLine="480"/>
        <w:rPr>
          <w:sz w:val="24"/>
          <w:szCs w:val="24"/>
          <w:u w:val="single"/>
        </w:rPr>
      </w:pPr>
      <w:r>
        <w:rPr>
          <w:sz w:val="24"/>
          <w:szCs w:val="24"/>
          <w:u w:val="single"/>
        </w:rPr>
      </w:r>
      <w:r/>
    </w:p>
    <w:p>
      <w:pPr>
        <w:pStyle w:val="919"/>
        <w:ind w:left="480" w:firstLine="480"/>
        <w:rPr>
          <w:sz w:val="24"/>
          <w:szCs w:val="24"/>
          <w:u w:val="single"/>
        </w:rPr>
      </w:pPr>
      <w:r>
        <w:rPr>
          <w:sz w:val="24"/>
          <w:szCs w:val="24"/>
          <w:u w:val="single"/>
        </w:rPr>
      </w:r>
      <w:r/>
    </w:p>
    <w:p>
      <w:pPr>
        <w:pStyle w:val="919"/>
        <w:ind w:left="480" w:firstLine="480"/>
        <w:rPr>
          <w:sz w:val="24"/>
          <w:szCs w:val="24"/>
          <w:u w:val="single"/>
        </w:rPr>
      </w:pPr>
      <w:r>
        <w:rPr>
          <w:sz w:val="24"/>
          <w:szCs w:val="24"/>
          <w:u w:val="single"/>
        </w:rPr>
      </w:r>
      <w:r/>
    </w:p>
    <w:p>
      <w:pPr>
        <w:pStyle w:val="919"/>
        <w:ind w:left="480" w:firstLine="480"/>
        <w:rPr>
          <w:sz w:val="24"/>
          <w:szCs w:val="24"/>
          <w:u w:val="single"/>
        </w:rPr>
      </w:pPr>
      <w:r>
        <w:rPr>
          <w:sz w:val="24"/>
          <w:szCs w:val="24"/>
          <w:u w:val="single"/>
        </w:rPr>
      </w:r>
      <w:r/>
    </w:p>
    <w:p>
      <w:pPr>
        <w:pStyle w:val="919"/>
        <w:ind w:left="480" w:firstLine="480"/>
        <w:rPr>
          <w:sz w:val="24"/>
          <w:szCs w:val="24"/>
          <w:u w:val="single"/>
        </w:rPr>
      </w:pPr>
      <w:r>
        <w:rPr>
          <w:sz w:val="24"/>
          <w:szCs w:val="24"/>
          <w:u w:val="single"/>
        </w:rPr>
      </w:r>
      <w:r/>
    </w:p>
    <w:p>
      <w:pPr>
        <w:pStyle w:val="919"/>
        <w:ind w:left="480" w:firstLine="480"/>
        <w:rPr>
          <w:sz w:val="24"/>
          <w:szCs w:val="24"/>
          <w:u w:val="single"/>
        </w:rPr>
      </w:pPr>
      <w:r>
        <w:rPr>
          <w:sz w:val="24"/>
          <w:szCs w:val="24"/>
          <w:u w:val="single"/>
        </w:rPr>
      </w:r>
      <w:r/>
    </w:p>
    <w:p>
      <w:pPr>
        <w:pStyle w:val="919"/>
        <w:ind w:left="480" w:firstLine="480"/>
        <w:rPr>
          <w:sz w:val="24"/>
          <w:szCs w:val="24"/>
          <w:u w:val="single"/>
        </w:rPr>
      </w:pPr>
      <w:r>
        <w:rPr>
          <w:sz w:val="24"/>
          <w:szCs w:val="24"/>
          <w:u w:val="single"/>
        </w:rPr>
      </w:r>
      <w:r/>
    </w:p>
    <w:p>
      <w:pPr>
        <w:pStyle w:val="919"/>
        <w:ind w:left="480" w:firstLine="480"/>
        <w:rPr>
          <w:sz w:val="24"/>
          <w:szCs w:val="24"/>
          <w:u w:val="single"/>
        </w:rPr>
      </w:pPr>
      <w:r>
        <w:rPr>
          <w:sz w:val="24"/>
          <w:szCs w:val="24"/>
          <w:u w:val="single"/>
        </w:rPr>
      </w:r>
      <w:r/>
    </w:p>
    <w:p>
      <w:pPr>
        <w:pStyle w:val="919"/>
        <w:ind w:left="480" w:firstLine="480"/>
        <w:rPr>
          <w:sz w:val="24"/>
          <w:szCs w:val="24"/>
          <w:u w:val="single"/>
        </w:rPr>
      </w:pPr>
      <w:r>
        <w:rPr>
          <w:sz w:val="24"/>
          <w:szCs w:val="24"/>
          <w:u w:val="single"/>
        </w:rPr>
      </w:r>
      <w:r/>
    </w:p>
    <w:p>
      <w:pPr>
        <w:pStyle w:val="919"/>
        <w:ind w:left="480" w:firstLine="480"/>
        <w:rPr>
          <w:sz w:val="24"/>
          <w:szCs w:val="24"/>
          <w:u w:val="single"/>
        </w:rPr>
      </w:pPr>
      <w:r>
        <w:rPr>
          <w:sz w:val="24"/>
          <w:szCs w:val="24"/>
          <w:u w:val="single"/>
        </w:rPr>
      </w:r>
      <w:r/>
    </w:p>
    <w:p>
      <w:pPr>
        <w:pStyle w:val="919"/>
        <w:ind w:left="480" w:firstLine="480"/>
        <w:rPr>
          <w:sz w:val="24"/>
          <w:szCs w:val="24"/>
          <w:u w:val="single"/>
        </w:rPr>
      </w:pPr>
      <w:r>
        <w:rPr>
          <w:sz w:val="24"/>
          <w:szCs w:val="24"/>
          <w:u w:val="single"/>
        </w:rPr>
      </w:r>
      <w:r/>
    </w:p>
    <w:p>
      <w:pPr>
        <w:pStyle w:val="919"/>
        <w:ind w:left="480" w:firstLine="480"/>
        <w:rPr>
          <w:sz w:val="24"/>
          <w:szCs w:val="24"/>
          <w:u w:val="single"/>
        </w:rPr>
      </w:pPr>
      <w:r>
        <w:rPr>
          <w:sz w:val="24"/>
          <w:szCs w:val="24"/>
          <w:u w:val="single"/>
        </w:rPr>
      </w:r>
      <w:r/>
    </w:p>
    <w:p>
      <w:pPr>
        <w:jc w:val="center"/>
        <w:keepLines/>
        <w:keepNext/>
        <w:spacing w:before="260" w:after="260" w:line="416" w:lineRule="auto"/>
        <w:rPr>
          <w:rFonts w:ascii="黑体" w:hAnsi="黑体" w:eastAsia="黑体"/>
          <w:b/>
          <w:i/>
          <w:sz w:val="32"/>
          <w:szCs w:val="32"/>
          <w:u w:val="single"/>
        </w:rPr>
        <w:outlineLvl w:val="1"/>
      </w:pPr>
      <w:r>
        <w:rPr>
          <w:rFonts w:hint="eastAsia" w:ascii="黑体" w:hAnsi="黑体" w:eastAsia="黑体" w:cs="Arial"/>
          <w:b/>
          <w:i/>
          <w:sz w:val="32"/>
          <w:szCs w:val="32"/>
          <w:u w:val="single"/>
        </w:rPr>
        <w:t xml:space="preserve">四、</w:t>
      </w:r>
      <w:r>
        <w:rPr>
          <w:rFonts w:hint="eastAsia" w:ascii="黑体" w:hAnsi="黑体" w:eastAsia="黑体"/>
          <w:b/>
          <w:i/>
          <w:sz w:val="32"/>
          <w:szCs w:val="32"/>
          <w:u w:val="single"/>
        </w:rPr>
        <w:t xml:space="preserve">磋商响应函</w:t>
      </w:r>
      <w:r/>
    </w:p>
    <w:p>
      <w:pPr>
        <w:jc w:val="left"/>
        <w:spacing w:line="420" w:lineRule="exact"/>
        <w:rPr>
          <w:rFonts w:ascii="宋体" w:hAnsi="宋体"/>
          <w:sz w:val="24"/>
          <w:szCs w:val="21"/>
        </w:rPr>
      </w:pPr>
      <w:r>
        <w:rPr>
          <w:rFonts w:hint="eastAsia" w:ascii="宋体" w:hAnsi="宋体"/>
          <w:sz w:val="24"/>
          <w:szCs w:val="21"/>
        </w:rPr>
        <w:t xml:space="preserve">致：常州市政府采购中心</w:t>
      </w:r>
      <w:r/>
    </w:p>
    <w:p>
      <w:pPr>
        <w:ind w:firstLine="480"/>
        <w:jc w:val="left"/>
        <w:spacing w:line="420" w:lineRule="exact"/>
        <w:rPr>
          <w:rFonts w:ascii="宋体" w:hAnsi="宋体"/>
          <w:sz w:val="24"/>
          <w:szCs w:val="21"/>
        </w:rPr>
      </w:pPr>
      <w:r>
        <w:rPr>
          <w:rFonts w:hint="eastAsia" w:ascii="宋体" w:hAnsi="宋体"/>
          <w:sz w:val="24"/>
          <w:szCs w:val="21"/>
        </w:rPr>
        <w:t xml:space="preserve">根据贵方的JSZC- </w:t>
      </w:r>
      <w:r>
        <w:rPr>
          <w:rFonts w:hint="eastAsia" w:ascii="宋体" w:hAnsi="宋体"/>
          <w:b/>
          <w:sz w:val="36"/>
          <w:szCs w:val="24"/>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w:t>
      </w:r>
      <w:r>
        <w:rPr>
          <w:rFonts w:hint="eastAsia" w:ascii="宋体" w:hAnsi="宋体"/>
          <w:sz w:val="24"/>
          <w:szCs w:val="21"/>
        </w:rPr>
        <w:t xml:space="preserve">人兹宣布</w:t>
      </w:r>
      <w:r>
        <w:rPr>
          <w:rFonts w:hint="eastAsia" w:ascii="宋体" w:hAnsi="宋体"/>
          <w:sz w:val="24"/>
          <w:szCs w:val="21"/>
        </w:rPr>
        <w:t xml:space="preserve">同意如下：</w:t>
      </w:r>
      <w:r/>
    </w:p>
    <w:p>
      <w:pPr>
        <w:ind w:firstLine="480"/>
        <w:jc w:val="left"/>
        <w:spacing w:line="420" w:lineRule="exact"/>
        <w:rPr>
          <w:rFonts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w:t>
      </w:r>
      <w:r>
        <w:rPr>
          <w:rFonts w:hint="eastAsia" w:ascii="宋体" w:hAnsi="宋体"/>
          <w:sz w:val="24"/>
          <w:szCs w:val="21"/>
        </w:rPr>
        <w:t xml:space="preserve">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w:t>
      </w:r>
      <w:r>
        <w:rPr>
          <w:rFonts w:hint="eastAsia" w:ascii="宋体" w:hAnsi="宋体"/>
          <w:sz w:val="24"/>
          <w:szCs w:val="21"/>
        </w:rPr>
        <w:t xml:space="preserve">          号： </w:t>
      </w:r>
      <w:r/>
    </w:p>
    <w:p>
      <w:pPr>
        <w:ind w:left="420" w:firstLine="480"/>
        <w:jc w:val="left"/>
        <w:spacing w:line="420" w:lineRule="exact"/>
        <w:rPr>
          <w:rFonts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jc w:val="center"/>
        <w:spacing w:line="460" w:lineRule="exact"/>
        <w:rPr>
          <w:rFonts w:ascii="黑体" w:hAnsi="黑体" w:eastAsia="黑体"/>
          <w:b/>
          <w:sz w:val="32"/>
          <w:szCs w:val="32"/>
        </w:rPr>
      </w:pPr>
      <w:r>
        <w:rPr>
          <w:rFonts w:hint="eastAsia" w:ascii="黑体" w:hAnsi="黑体" w:eastAsia="黑体"/>
          <w:b/>
          <w:sz w:val="32"/>
          <w:szCs w:val="32"/>
        </w:rPr>
        <w:t xml:space="preserve">五、小</w:t>
      </w:r>
      <w:r>
        <w:rPr>
          <w:rFonts w:hint="eastAsia" w:ascii="黑体" w:hAnsi="黑体" w:eastAsia="黑体"/>
          <w:b/>
          <w:sz w:val="32"/>
          <w:szCs w:val="32"/>
        </w:rPr>
        <w:t xml:space="preserve">微企业</w:t>
      </w:r>
      <w:r>
        <w:rPr>
          <w:rFonts w:hint="eastAsia" w:ascii="黑体" w:hAnsi="黑体" w:eastAsia="黑体"/>
          <w:b/>
          <w:sz w:val="32"/>
          <w:szCs w:val="32"/>
        </w:rPr>
        <w:t xml:space="preserve">声明函（服务）（分包号：**）</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w:t>
      </w:r>
      <w:r>
        <w:rPr>
          <w:rFonts w:hint="eastAsia" w:ascii="宋体" w:hAnsi="宋体"/>
          <w:sz w:val="24"/>
          <w:szCs w:val="24"/>
        </w:rPr>
        <w:t xml:space="preserve">微企业</w:t>
      </w:r>
      <w:r>
        <w:rPr>
          <w:rFonts w:hint="eastAsia" w:ascii="宋体" w:hAnsi="宋体"/>
          <w:sz w:val="24"/>
          <w:szCs w:val="24"/>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软件和信息技术服务业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480"/>
        <w:spacing w:line="560" w:lineRule="exact"/>
        <w:rPr>
          <w:rFonts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560" w:lineRule="exact"/>
        <w:rPr>
          <w:rFonts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szCs w:val="21"/>
        </w:rPr>
        <w:t xml:space="preserve">成交供应商为小</w:t>
      </w:r>
      <w:r>
        <w:rPr>
          <w:rFonts w:hint="eastAsia" w:ascii="宋体" w:hAnsi="宋体"/>
          <w:sz w:val="24"/>
          <w:szCs w:val="21"/>
        </w:rPr>
        <w:t xml:space="preserve">微企业</w:t>
      </w:r>
      <w:r>
        <w:rPr>
          <w:rFonts w:hint="eastAsia" w:ascii="宋体" w:hAnsi="宋体"/>
          <w:sz w:val="24"/>
          <w:szCs w:val="21"/>
        </w:rPr>
        <w:t xml:space="preserve">的，</w:t>
      </w:r>
      <w:r>
        <w:rPr>
          <w:rFonts w:hint="eastAsia" w:ascii="宋体" w:hAnsi="宋体"/>
          <w:sz w:val="24"/>
        </w:rPr>
        <w:t xml:space="preserve">此</w:t>
      </w:r>
      <w:r>
        <w:rPr>
          <w:rFonts w:hint="eastAsia" w:ascii="宋体" w:hAnsi="宋体"/>
          <w:sz w:val="24"/>
        </w:rPr>
        <w:t xml:space="preserve">声明函将</w:t>
      </w:r>
      <w:r>
        <w:rPr>
          <w:rFonts w:hint="eastAsia" w:ascii="宋体" w:hAnsi="宋体"/>
          <w:sz w:val="24"/>
        </w:rPr>
        <w:t xml:space="preserve">随成交结果同时公告，接受社会监督。</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spacing w:line="588"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ascii="宋体" w:hAnsi="宋体"/>
          <w:sz w:val="24"/>
          <w:szCs w:val="21"/>
        </w:rPr>
      </w:pPr>
      <w:r>
        <w:rPr>
          <w:rFonts w:ascii="宋体" w:hAnsi="宋体"/>
          <w:sz w:val="24"/>
          <w:szCs w:val="21"/>
        </w:rPr>
      </w:r>
      <w:r/>
    </w:p>
    <w:p>
      <w:pPr>
        <w:ind w:firstLine="480"/>
        <w:spacing w:line="588" w:lineRule="exact"/>
        <w:rPr>
          <w:rFonts w:ascii="宋体" w:hAnsi="宋体"/>
          <w:sz w:val="24"/>
          <w:szCs w:val="21"/>
        </w:rPr>
      </w:pPr>
      <w:r>
        <w:rPr>
          <w:rFonts w:hint="eastAsia" w:ascii="宋体" w:hAnsi="宋体"/>
          <w:sz w:val="24"/>
          <w:szCs w:val="21"/>
        </w:rPr>
        <w:t xml:space="preserve">（备注：1、供应商如不提供此声明函，价格将不做相应扣除。2、成交供应商为残疾人福利单位的，此</w:t>
      </w:r>
      <w:r>
        <w:rPr>
          <w:rFonts w:hint="eastAsia" w:ascii="宋体" w:hAnsi="宋体"/>
          <w:sz w:val="24"/>
          <w:szCs w:val="21"/>
        </w:rPr>
        <w:t xml:space="preserve">声明函将随</w:t>
      </w:r>
      <w:r>
        <w:rPr>
          <w:rFonts w:hint="eastAsia" w:ascii="宋体" w:hAnsi="宋体"/>
          <w:sz w:val="24"/>
          <w:szCs w:val="21"/>
        </w:rPr>
        <w:t xml:space="preserve">成交结果同时公告，接受社会监督）</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自愿组成联合体，参加常州市政府采购中心组织的采购编号为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hint="eastAsia" w:ascii="宋体" w:hAnsi="宋体"/>
          <w:sz w:val="24"/>
          <w:szCs w:val="21"/>
        </w:rPr>
        <w:t xml:space="preserve">备注：本磋商文件中要求加盖CA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ascii="宋体" w:hAnsi="宋体"/>
          <w:sz w:val="24"/>
          <w:szCs w:val="21"/>
        </w:rPr>
      </w:pPr>
      <w:r>
        <w:rPr>
          <w:rFonts w:ascii="宋体" w:hAnsi="宋体"/>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jc w:val="center"/>
        <w:rPr>
          <w:rFonts w:ascii="黑体" w:hAnsi="黑体" w:eastAsia="黑体"/>
          <w:b/>
          <w:i/>
          <w:sz w:val="32"/>
          <w:szCs w:val="32"/>
          <w:u w:val="single"/>
        </w:rPr>
      </w:pPr>
      <w:r>
        <w:rPr>
          <w:rFonts w:hint="eastAsia" w:ascii="黑体" w:hAnsi="黑体" w:eastAsia="黑体"/>
          <w:b/>
          <w:i/>
          <w:sz w:val="32"/>
          <w:szCs w:val="32"/>
          <w:u w:val="single"/>
        </w:rPr>
        <w:t xml:space="preserve">八、分项报价表（分包号：**）（服务类）</w:t>
      </w:r>
      <w:r/>
    </w:p>
    <w:p>
      <w:pPr>
        <w:jc w:val="center"/>
        <w:rPr>
          <w:rFonts w:ascii="黑体" w:hAnsi="黑体" w:eastAsia="黑体"/>
          <w:b/>
          <w:i/>
          <w:sz w:val="32"/>
          <w:szCs w:val="32"/>
          <w:u w:val="single"/>
        </w:rPr>
      </w:pPr>
      <w:r>
        <w:rPr>
          <w:rFonts w:hint="eastAsia" w:ascii="宋体" w:hAnsi="宋体"/>
          <w:b/>
          <w:sz w:val="24"/>
          <w:szCs w:val="24"/>
        </w:rPr>
        <w:t xml:space="preserve">项目名称： </w:t>
      </w:r>
      <w:r>
        <w:rPr>
          <w:rFonts w:ascii="宋体" w:hAnsi="宋体"/>
          <w:b/>
          <w:sz w:val="24"/>
          <w:szCs w:val="24"/>
        </w:rPr>
        <w:t xml:space="preserve">                                                </w:t>
      </w:r>
      <w:r>
        <w:rPr>
          <w:rFonts w:hint="eastAsia" w:ascii="宋体" w:hAnsi="宋体"/>
          <w:b/>
          <w:sz w:val="24"/>
          <w:szCs w:val="24"/>
        </w:rPr>
        <w:t xml:space="preserve">单位：元</w:t>
      </w:r>
      <w:r/>
    </w:p>
    <w:tbl>
      <w:tblPr>
        <w:tblW w:w="88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服务名称</w:t>
            </w:r>
            <w:r/>
          </w:p>
        </w:tc>
        <w:tc>
          <w:tcPr>
            <w:tcW w:w="213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服务内容</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77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9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总报价（人民币：元）</w:t>
            </w:r>
            <w:r/>
          </w:p>
        </w:tc>
        <w:tc>
          <w:tcPr>
            <w:tcW w:w="1798" w:type="dxa"/>
            <w:textDirection w:val="lrTb"/>
            <w:noWrap w:val="false"/>
          </w:tcPr>
          <w:p>
            <w:pPr>
              <w:spacing w:line="0" w:lineRule="atLeast"/>
              <w:rPr>
                <w:rFonts w:ascii="宋体" w:hAnsi="宋体"/>
                <w:sz w:val="24"/>
                <w:szCs w:val="24"/>
              </w:rPr>
            </w:pPr>
            <w:r>
              <w:rPr>
                <w:rFonts w:ascii="宋体" w:hAnsi="宋体"/>
                <w:sz w:val="24"/>
                <w:szCs w:val="24"/>
              </w:rPr>
            </w:r>
            <w:r/>
          </w:p>
        </w:tc>
      </w:tr>
    </w:tbl>
    <w:p>
      <w:pPr>
        <w:rPr>
          <w:rFonts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rPr>
          <w:rFonts w:ascii="宋体" w:hAnsi="宋体"/>
          <w:sz w:val="24"/>
          <w:szCs w:val="24"/>
          <w:u w:val="single"/>
        </w:rPr>
      </w:pPr>
      <w:r>
        <w:rPr>
          <w:rFonts w:ascii="宋体" w:hAnsi="宋体"/>
          <w:sz w:val="24"/>
          <w:szCs w:val="24"/>
          <w:u w:val="single"/>
        </w:rPr>
      </w:r>
      <w:r/>
    </w:p>
    <w:p>
      <w:pPr>
        <w:rPr>
          <w:rFonts w:ascii="宋体" w:hAnsi="宋体"/>
          <w:sz w:val="24"/>
          <w:szCs w:val="24"/>
        </w:rPr>
      </w:pPr>
      <w:r>
        <w:rPr>
          <w:rFonts w:hint="eastAsia" w:ascii="宋体" w:hAnsi="宋体"/>
          <w:sz w:val="24"/>
          <w:szCs w:val="24"/>
        </w:rPr>
        <w:t xml:space="preserve">备注： 1. 磋商报价</w:t>
      </w:r>
      <w:r>
        <w:rPr>
          <w:rFonts w:hint="eastAsia" w:ascii="宋体" w:hAnsi="宋体"/>
          <w:sz w:val="24"/>
          <w:szCs w:val="24"/>
        </w:rPr>
        <w:t xml:space="preserve">采用总</w:t>
      </w:r>
      <w:r>
        <w:rPr>
          <w:rFonts w:hint="eastAsia" w:ascii="宋体" w:hAnsi="宋体"/>
          <w:sz w:val="24"/>
          <w:szCs w:val="24"/>
        </w:rPr>
        <w:t xml:space="preserve">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2. “分项报价表”中“总报价”数额应当与“响应一览表”中“总报价”数额一致。</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center"/>
        <w:rPr>
          <w:rFonts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jc w:val="center"/>
        <w:rPr>
          <w:rFonts w:ascii="黑体" w:hAnsi="黑体" w:eastAsia="黑体"/>
          <w:b/>
          <w:sz w:val="32"/>
          <w:szCs w:val="32"/>
        </w:rPr>
      </w:pPr>
      <w:r/>
      <w:bookmarkStart w:id="190" w:name="_Hlt26955054"/>
      <w:r/>
      <w:bookmarkEnd w:id="186"/>
      <w:r/>
      <w:bookmarkEnd w:id="190"/>
      <w:r>
        <w:rPr>
          <w:rFonts w:hint="eastAsia" w:ascii="黑体" w:hAnsi="黑体" w:eastAsia="黑体"/>
          <w:b/>
          <w:sz w:val="32"/>
          <w:szCs w:val="32"/>
        </w:rPr>
        <w:t xml:space="preserve">十、商务要求响应及偏离表（分包号：**）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191" w:name="_Hlt26955064"/>
            <w:r/>
            <w:bookmarkStart w:id="192" w:name="_Hlt26671343"/>
            <w:r/>
            <w:bookmarkStart w:id="193" w:name="_Hlt26782999"/>
            <w:r/>
            <w:bookmarkStart w:id="194" w:name="_Hlt26580838"/>
            <w:r/>
            <w:bookmarkStart w:id="195" w:name="_Hlt26955056"/>
            <w:r/>
            <w:bookmarkStart w:id="196" w:name="_Hlt26671372"/>
            <w:r/>
            <w:bookmarkStart w:id="197" w:name="_Hlt24879081"/>
            <w:r/>
            <w:bookmarkStart w:id="198" w:name="_Hlt26609391"/>
            <w:r/>
            <w:bookmarkEnd w:id="191"/>
            <w:r/>
            <w:bookmarkEnd w:id="192"/>
            <w:r/>
            <w:bookmarkEnd w:id="193"/>
            <w:r/>
            <w:bookmarkEnd w:id="194"/>
            <w:r/>
            <w:bookmarkEnd w:id="195"/>
            <w:r/>
            <w:bookmarkEnd w:id="196"/>
            <w:r/>
            <w:bookmarkEnd w:id="197"/>
            <w:r/>
            <w:bookmarkEnd w:id="198"/>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rPr>
          <w:rFonts w:ascii="宋体" w:hAnsi="宋体"/>
          <w:sz w:val="24"/>
          <w:szCs w:val="24"/>
        </w:rPr>
      </w:pPr>
      <w:r>
        <w:rPr>
          <w:rFonts w:ascii="宋体" w:hAnsi="宋体"/>
          <w:sz w:val="24"/>
          <w:szCs w:val="24"/>
        </w:rPr>
      </w:r>
      <w:r/>
    </w:p>
    <w:p>
      <w:pPr>
        <w:rPr>
          <w:rFonts w:eastAsia="仿宋_GB2312"/>
          <w:sz w:val="24"/>
          <w:szCs w:val="20"/>
        </w:rPr>
      </w:pPr>
      <w:r>
        <w:rPr>
          <w:rFonts w:hint="eastAsia" w:ascii="黑体" w:hAnsi="黑体" w:eastAsia="黑体"/>
          <w:b/>
          <w:i/>
          <w:sz w:val="32"/>
          <w:szCs w:val="32"/>
          <w:u w:val="single"/>
        </w:rPr>
        <w:t xml:space="preserve">十一、响应一览表</w:t>
      </w:r>
      <w:r>
        <w:rPr>
          <w:rFonts w:hint="eastAsia" w:ascii="黑体" w:hAnsi="黑体" w:eastAsia="黑体"/>
          <w:i/>
          <w:sz w:val="32"/>
          <w:szCs w:val="32"/>
          <w:u w:val="single"/>
        </w:rPr>
        <w:t xml:space="preserve">（实质性格式）</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25"/>
              <w:ind w:firstLine="0"/>
              <w:spacing w:before="0" w:after="0" w:line="500" w:lineRule="exact"/>
              <w:rPr>
                <w:rFonts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spacing w:line="460" w:lineRule="exact"/>
        <w:rPr>
          <w:rFonts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w:t>
      </w:r>
      <w:r>
        <w:rPr>
          <w:rFonts w:hint="eastAsia" w:ascii="宋体" w:hAnsi="宋体" w:cs="宋体"/>
          <w:b/>
          <w:bCs/>
          <w:color w:val="000000"/>
          <w:sz w:val="24"/>
          <w:szCs w:val="24"/>
        </w:rPr>
        <w:t xml:space="preserve">作出</w:t>
      </w:r>
      <w:r>
        <w:rPr>
          <w:rFonts w:hint="eastAsia" w:ascii="宋体" w:hAnsi="宋体" w:cs="宋体"/>
          <w:b/>
          <w:bCs/>
          <w:color w:val="000000"/>
          <w:sz w:val="24"/>
          <w:szCs w:val="24"/>
        </w:rPr>
        <w:t xml:space="preserve">调整，按照制作工具显示的栏目编制</w:t>
      </w:r>
      <w:r>
        <w:rPr>
          <w:rFonts w:hint="eastAsia" w:ascii="宋体" w:hAnsi="宋体"/>
          <w:b/>
          <w:sz w:val="24"/>
          <w:szCs w:val="24"/>
        </w:rPr>
        <w:t xml:space="preserve">）</w:t>
      </w:r>
      <w:r/>
    </w:p>
    <w:p>
      <w:pPr>
        <w:spacing w:line="460" w:lineRule="exact"/>
        <w:rPr>
          <w:rFonts w:ascii="宋体" w:hAnsi="宋体"/>
          <w:bCs/>
          <w:sz w:val="24"/>
        </w:rPr>
      </w:pPr>
      <w:r>
        <w:rPr>
          <w:rFonts w:ascii="宋体" w:hAnsi="宋体"/>
          <w:bCs/>
          <w:sz w:val="24"/>
        </w:rPr>
      </w:r>
      <w:r/>
    </w:p>
    <w:tbl>
      <w:tblPr>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9"/>
        <w:gridCol w:w="2946"/>
        <w:gridCol w:w="5321"/>
      </w:tblGrid>
      <w:tr>
        <w:trPr>
          <w:trHeight w:val="405"/>
        </w:trPr>
        <w:tc>
          <w:tcPr>
            <w:shd w:val="clear" w:color="auto" w:fill="auto"/>
            <w:tcW w:w="1089"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类型</w:t>
            </w:r>
            <w:r/>
          </w:p>
        </w:tc>
        <w:tc>
          <w:tcPr>
            <w:shd w:val="clear" w:color="auto" w:fill="auto"/>
            <w:tcW w:w="2946"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rPr>
              <w:t xml:space="preserve">栏目</w:t>
            </w:r>
            <w:r>
              <w:rPr>
                <w:rFonts w:hint="eastAsia" w:ascii="宋体" w:hAnsi="宋体" w:cs="宋体"/>
                <w:b/>
                <w:bCs/>
                <w:color w:val="000000"/>
                <w:szCs w:val="21"/>
              </w:rPr>
              <w:t xml:space="preserve">名称</w:t>
            </w:r>
            <w:r/>
          </w:p>
        </w:tc>
        <w:tc>
          <w:tcPr>
            <w:shd w:val="clear" w:color="auto" w:fill="auto"/>
            <w:tcW w:w="5321"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编制和评审要求</w:t>
            </w:r>
            <w:r/>
          </w:p>
        </w:tc>
      </w:tr>
      <w:tr>
        <w:trPr>
          <w:trHeight w:val="540"/>
        </w:trPr>
        <w:tc>
          <w:tcPr>
            <w:shd w:val="clear" w:color="auto" w:fill="auto"/>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投标（响应）文件封面</w:t>
            </w:r>
            <w:r/>
          </w:p>
        </w:tc>
        <w:tc>
          <w:tcPr>
            <w:shd w:val="clear" w:color="auto" w:fill="auto"/>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按照招标（采购）文件的规定格式。(格式见</w:t>
            </w:r>
            <w:r>
              <w:rPr>
                <w:rFonts w:hint="eastAsia" w:ascii="宋体" w:hAnsi="宋体" w:cs="宋体"/>
                <w:b/>
                <w:bCs/>
                <w:color w:val="000000"/>
                <w:szCs w:val="21"/>
              </w:rPr>
              <w:t xml:space="preserve">《投标（响应）文件格式》</w:t>
            </w:r>
            <w:r>
              <w:rPr>
                <w:rFonts w:hint="eastAsia" w:ascii="宋体" w:hAnsi="宋体" w:cs="宋体"/>
                <w:color w:val="000000"/>
                <w:szCs w:val="21"/>
              </w:rPr>
              <w:t xml:space="preserve">)</w:t>
            </w:r>
            <w:r/>
          </w:p>
        </w:tc>
      </w:tr>
      <w:tr>
        <w:trPr>
          <w:trHeight w:val="540"/>
        </w:trPr>
        <w:tc>
          <w:tcPr>
            <w:shd w:val="clear" w:color="auto" w:fill="auto"/>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开标一览表（响应一览表）</w:t>
            </w:r>
            <w:r/>
          </w:p>
        </w:tc>
        <w:tc>
          <w:tcPr>
            <w:shd w:val="clear" w:color="auto" w:fill="auto"/>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《开标一览表（响应一览表）》</w:t>
            </w:r>
            <w:r>
              <w:rPr>
                <w:rFonts w:hint="eastAsia" w:ascii="宋体" w:hAnsi="宋体" w:cs="宋体"/>
                <w:color w:val="000000"/>
                <w:szCs w:val="21"/>
              </w:rPr>
              <w:t xml:space="preserve">。(格式见《投标（响应）文件格式》)</w:t>
            </w:r>
            <w:r/>
          </w:p>
        </w:tc>
      </w:tr>
      <w:tr>
        <w:trPr>
          <w:trHeight w:val="540"/>
        </w:trPr>
        <w:tc>
          <w:tcPr>
            <w:shd w:val="clear" w:color="auto" w:fill="auto"/>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技术要求响应及偏离表</w:t>
            </w:r>
            <w:r/>
          </w:p>
        </w:tc>
        <w:tc>
          <w:tcPr>
            <w:shd w:val="clear" w:color="auto" w:fill="auto"/>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《技术要求响应及偏离表》</w:t>
            </w:r>
            <w:r>
              <w:rPr>
                <w:rFonts w:hint="eastAsia" w:ascii="宋体" w:hAnsi="宋体" w:cs="宋体"/>
                <w:color w:val="000000"/>
                <w:szCs w:val="21"/>
              </w:rPr>
              <w:t xml:space="preserve">。(格式见《投标（响应）文件格式》)</w:t>
            </w:r>
            <w:r/>
          </w:p>
        </w:tc>
      </w:tr>
      <w:tr>
        <w:trPr>
          <w:trHeight w:val="540"/>
        </w:trPr>
        <w:tc>
          <w:tcPr>
            <w:shd w:val="clear" w:color="auto" w:fill="auto"/>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商务要求响应及偏离表</w:t>
            </w:r>
            <w:r/>
          </w:p>
        </w:tc>
        <w:tc>
          <w:tcPr>
            <w:shd w:val="clear" w:color="auto" w:fill="auto"/>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《商务要求响应及偏离表》</w:t>
            </w:r>
            <w:r>
              <w:rPr>
                <w:rFonts w:hint="eastAsia" w:ascii="宋体" w:hAnsi="宋体" w:cs="宋体"/>
                <w:color w:val="000000"/>
                <w:szCs w:val="21"/>
              </w:rPr>
              <w:t xml:space="preserve">。(格式见《投标（响应）文件格式》)</w:t>
            </w:r>
            <w:r/>
          </w:p>
        </w:tc>
      </w:tr>
      <w:tr>
        <w:trPr>
          <w:trHeight w:val="810"/>
        </w:trPr>
        <w:tc>
          <w:tcPr>
            <w:shd w:val="clear" w:color="auto" w:fill="auto"/>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w:t>
            </w:r>
            <w:r>
              <w:rPr>
                <w:rFonts w:hint="eastAsia" w:ascii="宋体" w:hAnsi="宋体" w:cs="宋体"/>
                <w:color w:val="000000"/>
                <w:szCs w:val="21"/>
              </w:rPr>
              <w:t xml:space="preserve">完整技术</w:t>
            </w:r>
            <w:r>
              <w:rPr>
                <w:rFonts w:hint="eastAsia" w:ascii="宋体" w:hAnsi="宋体" w:cs="宋体"/>
                <w:color w:val="000000"/>
                <w:szCs w:val="21"/>
              </w:rPr>
              <w:t xml:space="preserve">和实施方案</w:t>
            </w:r>
            <w:r/>
          </w:p>
        </w:tc>
        <w:tc>
          <w:tcPr>
            <w:shd w:val="clear" w:color="auto" w:fill="auto"/>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shd w:val="clear" w:color="auto" w:fill="auto"/>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提供符合招标（采购）文件要求的</w:t>
            </w:r>
            <w:r>
              <w:rPr>
                <w:rFonts w:hint="eastAsia" w:ascii="宋体" w:hAnsi="宋体" w:cs="宋体"/>
                <w:b/>
                <w:bCs/>
                <w:color w:val="000000"/>
                <w:szCs w:val="21"/>
              </w:rPr>
              <w:t xml:space="preserve">《投标人（供应商）资格声明函》</w:t>
            </w:r>
            <w:r>
              <w:rPr>
                <w:rFonts w:hint="eastAsia" w:ascii="宋体" w:hAnsi="宋体" w:cs="宋体"/>
                <w:color w:val="000000"/>
                <w:szCs w:val="21"/>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其他落实政府采购政策的资格要求</w:t>
            </w:r>
            <w:r/>
          </w:p>
        </w:tc>
        <w:tc>
          <w:tcPr>
            <w:shd w:val="clear" w:color="auto" w:fill="auto"/>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如有的提供，否则无需提供。详见第一章《投标（竞谈、磋商、询价）邀请》相关要求。</w:t>
            </w:r>
            <w:r/>
          </w:p>
        </w:tc>
      </w:tr>
      <w:tr>
        <w:trPr>
          <w:trHeight w:val="810"/>
        </w:trPr>
        <w:tc>
          <w:tcPr>
            <w:shd w:val="clear" w:color="auto" w:fill="auto"/>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资格审查</w:t>
            </w:r>
            <w:r/>
          </w:p>
        </w:tc>
        <w:tc>
          <w:tcPr>
            <w:shd w:val="clear" w:color="auto" w:fill="auto"/>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是否接受联合体投标（响应）</w:t>
            </w:r>
            <w:r/>
          </w:p>
        </w:tc>
        <w:tc>
          <w:tcPr>
            <w:shd w:val="clear" w:color="auto" w:fill="auto"/>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如是接受联合体投标（响应），且投标人（供应商）组成联合体投标（响应）的必须提供</w:t>
            </w:r>
            <w:r>
              <w:rPr>
                <w:rFonts w:hint="eastAsia" w:ascii="宋体" w:hAnsi="宋体" w:cs="宋体"/>
                <w:b/>
                <w:bCs/>
                <w:color w:val="000000"/>
                <w:szCs w:val="21"/>
              </w:rPr>
              <w:t xml:space="preserve">《联合体协议》</w:t>
            </w:r>
            <w:r>
              <w:rPr>
                <w:rFonts w:hint="eastAsia" w:ascii="宋体" w:hAnsi="宋体" w:cs="宋体"/>
                <w:color w:val="000000"/>
                <w:szCs w:val="21"/>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如有特定资格要求的提供，详见第一章《投标（竞谈、磋商、询价）邀请》本项目的特定资格要求中规定要求提供的证明文件或材料，否则无需提供。</w:t>
            </w:r>
            <w:r/>
          </w:p>
        </w:tc>
      </w:tr>
      <w:tr>
        <w:trPr>
          <w:trHeight w:val="270"/>
        </w:trPr>
        <w:tc>
          <w:tcPr>
            <w:shd w:val="clear" w:color="auto" w:fill="auto"/>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540"/>
        </w:trPr>
        <w:tc>
          <w:tcPr>
            <w:shd w:val="clear" w:color="auto" w:fill="auto"/>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法人授权书、投标（响应）函</w:t>
            </w:r>
            <w:r/>
          </w:p>
        </w:tc>
        <w:tc>
          <w:tcPr>
            <w:shd w:val="clear" w:color="auto" w:fill="auto"/>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按招标（采购）文件要求提供</w:t>
            </w:r>
            <w:r>
              <w:rPr>
                <w:rFonts w:hint="eastAsia" w:ascii="宋体" w:hAnsi="宋体" w:cs="宋体"/>
                <w:b/>
                <w:bCs/>
                <w:color w:val="000000"/>
                <w:szCs w:val="21"/>
              </w:rPr>
              <w:t xml:space="preserve">《法人授权书》</w:t>
            </w:r>
            <w:r>
              <w:rPr>
                <w:rFonts w:hint="eastAsia" w:ascii="宋体" w:hAnsi="宋体" w:cs="宋体"/>
                <w:color w:val="000000"/>
                <w:szCs w:val="21"/>
              </w:rPr>
              <w:t xml:space="preserve">、</w:t>
            </w:r>
            <w:r>
              <w:rPr>
                <w:rFonts w:hint="eastAsia" w:ascii="宋体" w:hAnsi="宋体" w:cs="宋体"/>
                <w:b/>
                <w:bCs/>
                <w:color w:val="000000"/>
                <w:szCs w:val="21"/>
              </w:rPr>
              <w:t xml:space="preserve">《投标（响应）函》</w:t>
            </w:r>
            <w:r>
              <w:rPr>
                <w:rFonts w:hint="eastAsia" w:ascii="宋体" w:hAnsi="宋体" w:cs="宋体"/>
                <w:color w:val="000000"/>
                <w:szCs w:val="21"/>
              </w:rPr>
              <w:t xml:space="preserve">。(格式见《投标（响应）文件格式》)</w:t>
            </w:r>
            <w:r/>
          </w:p>
        </w:tc>
      </w:tr>
      <w:tr>
        <w:trPr>
          <w:trHeight w:val="810"/>
        </w:trPr>
        <w:tc>
          <w:tcPr>
            <w:shd w:val="clear" w:color="auto" w:fill="auto"/>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投标（响应）报价</w:t>
            </w:r>
            <w:r/>
          </w:p>
        </w:tc>
        <w:tc>
          <w:tcPr>
            <w:shd w:val="clear" w:color="auto" w:fill="auto"/>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由评委审查，无需供应商提供材料。开标一览表（响应一览表）投标报价（响应报价）未超过招标（采购）文件中规定的项目/采购</w:t>
            </w:r>
            <w:r>
              <w:rPr>
                <w:rFonts w:hint="eastAsia" w:ascii="宋体" w:hAnsi="宋体" w:cs="宋体"/>
                <w:color w:val="000000"/>
                <w:szCs w:val="21"/>
              </w:rPr>
              <w:t xml:space="preserve">包预算</w:t>
            </w:r>
            <w:r>
              <w:rPr>
                <w:rFonts w:hint="eastAsia" w:ascii="宋体" w:hAnsi="宋体" w:cs="宋体"/>
                <w:color w:val="000000"/>
                <w:szCs w:val="21"/>
              </w:rPr>
              <w:t xml:space="preserve">金额或者项目/采购</w:t>
            </w:r>
            <w:r>
              <w:rPr>
                <w:rFonts w:hint="eastAsia" w:ascii="宋体" w:hAnsi="宋体" w:cs="宋体"/>
                <w:color w:val="000000"/>
                <w:szCs w:val="21"/>
              </w:rPr>
              <w:t xml:space="preserve">包最</w:t>
            </w:r>
            <w:r>
              <w:rPr>
                <w:rFonts w:hint="eastAsia" w:ascii="宋体" w:hAnsi="宋体" w:cs="宋体"/>
                <w:color w:val="000000"/>
                <w:szCs w:val="21"/>
              </w:rPr>
              <w:t xml:space="preserve">高限价。</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投标（响应）文件未出现可选择性或可调整的报价（招标（采购）文件另有规定的除外）；提供</w:t>
            </w:r>
            <w:r>
              <w:rPr>
                <w:rFonts w:hint="eastAsia" w:ascii="宋体" w:hAnsi="宋体" w:cs="宋体"/>
                <w:b/>
                <w:bCs/>
                <w:color w:val="000000"/>
                <w:szCs w:val="21"/>
              </w:rPr>
              <w:t xml:space="preserve">《分项报价表》</w:t>
            </w:r>
            <w:r>
              <w:rPr>
                <w:rFonts w:hint="eastAsia" w:ascii="宋体" w:hAnsi="宋体" w:cs="宋体"/>
                <w:color w:val="000000"/>
                <w:szCs w:val="21"/>
              </w:rPr>
              <w:t xml:space="preserve">。(格式见《投标（响应）文件格式》)</w:t>
            </w:r>
            <w:r/>
          </w:p>
        </w:tc>
      </w:tr>
      <w:tr>
        <w:trPr>
          <w:trHeight w:val="1080"/>
        </w:trPr>
        <w:tc>
          <w:tcPr>
            <w:shd w:val="clear" w:color="auto" w:fill="auto"/>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报价合理性</w:t>
            </w:r>
            <w:r/>
          </w:p>
        </w:tc>
        <w:tc>
          <w:tcPr>
            <w:shd w:val="clear" w:color="auto" w:fill="auto"/>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由评委审查，报价合理的予以通过。根据</w:t>
            </w:r>
            <w:r>
              <w:rPr>
                <w:rFonts w:hint="eastAsia" w:ascii="宋体" w:hAnsi="宋体" w:cs="宋体"/>
                <w:color w:val="000000"/>
                <w:szCs w:val="21"/>
              </w:rPr>
              <w:t xml:space="preserve">苏财购〔2025〕</w:t>
            </w:r>
            <w:r>
              <w:rPr>
                <w:rFonts w:hint="eastAsia" w:ascii="宋体" w:hAnsi="宋体" w:cs="宋体"/>
                <w:color w:val="000000"/>
                <w:szCs w:val="21"/>
              </w:rPr>
              <w:t xml:space="preserve">62号文件规定，评审中出现下列情形之一的，评标委员会</w:t>
            </w:r>
            <w:r>
              <w:rPr>
                <w:rFonts w:hint="eastAsia" w:ascii="宋体" w:hAnsi="宋体" w:cs="宋体"/>
                <w:color w:val="000000"/>
                <w:szCs w:val="21"/>
              </w:rPr>
              <w:t xml:space="preserve">（评审小组）应当启动异常低价投标（响应）审查程序：1）投标（响应）报价低于采购项目预算 50% 的，即投标（响应）报价&lt;采购项目预算×50%；2）投标（响应）报价低于采购项目最高限价 45%的，即投标（响应）报价&lt;采购项目最高限价×45%；3）评标委员会（评审小组）认定的供应商报价过低、有可能影响产品质量或者不能诚信履约的其他情形。启动异常低价投标（响应）审查后，评标委员会（评审小组）应当要求相关供应商在评标现场合理的时间内，提供项目具体成本测算等与报价合理性相关的书面说明及相关证明材料，对投标（响应）价格</w:t>
            </w:r>
            <w:r>
              <w:rPr>
                <w:rFonts w:hint="eastAsia" w:ascii="宋体" w:hAnsi="宋体" w:cs="宋体"/>
                <w:color w:val="000000"/>
                <w:szCs w:val="21"/>
              </w:rPr>
              <w:t xml:space="preserve">作出</w:t>
            </w:r>
            <w:r>
              <w:rPr>
                <w:rFonts w:hint="eastAsia" w:ascii="宋体" w:hAnsi="宋体" w:cs="宋体"/>
                <w:color w:val="000000"/>
                <w:szCs w:val="21"/>
              </w:rPr>
              <w:t xml:space="preserve">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由评委审查，无需供应商提供材料。招标（采购）文件不接受进口产品投标的内容时，投标人（供应商）所投产品均为非进口产品。</w:t>
            </w:r>
            <w:r/>
          </w:p>
        </w:tc>
      </w:tr>
      <w:tr>
        <w:trPr>
          <w:trHeight w:val="540"/>
        </w:trPr>
        <w:tc>
          <w:tcPr>
            <w:shd w:val="clear" w:color="auto" w:fill="auto"/>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投标完整性</w:t>
            </w:r>
            <w:r/>
          </w:p>
        </w:tc>
        <w:tc>
          <w:tcPr>
            <w:shd w:val="clear" w:color="auto" w:fill="auto"/>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由评委审查，无需供应商提供材料。投标人（供应商）、投标（响应）文件不存在不符合法律、法规和招标（采购）文件规定的其他无效情形。</w:t>
            </w:r>
            <w:r/>
          </w:p>
        </w:tc>
      </w:tr>
      <w:tr>
        <w:trPr>
          <w:trHeight w:val="1080"/>
        </w:trPr>
        <w:tc>
          <w:tcPr>
            <w:shd w:val="clear" w:color="auto" w:fill="auto"/>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实质性条款响应</w:t>
            </w:r>
            <w:r/>
          </w:p>
        </w:tc>
        <w:tc>
          <w:tcPr>
            <w:shd w:val="clear" w:color="auto" w:fill="auto"/>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shd w:val="clear" w:color="000000" w:fill="ffff00"/>
            <w:tcW w:w="53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逐项提供相关证明材料</w:t>
            </w:r>
            <w:r/>
          </w:p>
        </w:tc>
      </w:tr>
      <w:tr>
        <w:trPr>
          <w:trHeight w:val="270"/>
        </w:trPr>
        <w:tc>
          <w:tcPr>
            <w:shd w:val="clear" w:color="auto" w:fill="auto"/>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540"/>
        </w:trPr>
        <w:tc>
          <w:tcPr>
            <w:shd w:val="clear" w:color="auto" w:fill="auto"/>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综合评审评分项</w:t>
            </w:r>
            <w:r/>
          </w:p>
        </w:tc>
        <w:tc>
          <w:tcPr>
            <w:shd w:val="clear" w:color="auto" w:fill="auto"/>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53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逐项提供相关证明材料</w:t>
            </w:r>
            <w:r/>
          </w:p>
        </w:tc>
      </w:tr>
      <w:tr>
        <w:trPr>
          <w:trHeight w:val="270"/>
        </w:trPr>
        <w:tc>
          <w:tcPr>
            <w:shd w:val="clear" w:color="auto" w:fill="auto"/>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auto"/>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53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价格折扣文件格式</w:t>
            </w:r>
            <w:r/>
          </w:p>
        </w:tc>
        <w:tc>
          <w:tcPr>
            <w:shd w:val="clear" w:color="000000" w:fill="ffff00"/>
            <w:tcW w:w="29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小</w:t>
            </w:r>
            <w:r>
              <w:rPr>
                <w:rFonts w:hint="eastAsia" w:ascii="宋体" w:hAnsi="宋体" w:cs="宋体"/>
                <w:color w:val="000000"/>
                <w:szCs w:val="21"/>
              </w:rPr>
              <w:t xml:space="preserve">微企业</w:t>
            </w:r>
            <w:r>
              <w:rPr>
                <w:rFonts w:hint="eastAsia" w:ascii="宋体" w:hAnsi="宋体" w:cs="宋体"/>
                <w:color w:val="000000"/>
                <w:szCs w:val="21"/>
              </w:rPr>
              <w:t xml:space="preserve">声明函</w:t>
            </w:r>
            <w:r/>
          </w:p>
        </w:tc>
        <w:tc>
          <w:tcPr>
            <w:shd w:val="clear" w:color="000000" w:fill="ffff00"/>
            <w:tcW w:w="53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属于小</w:t>
            </w:r>
            <w:r>
              <w:rPr>
                <w:rFonts w:hint="eastAsia" w:ascii="宋体" w:hAnsi="宋体" w:cs="宋体"/>
                <w:color w:val="000000"/>
                <w:szCs w:val="21"/>
              </w:rPr>
              <w:t xml:space="preserve">微企业</w:t>
            </w:r>
            <w:r>
              <w:rPr>
                <w:rFonts w:hint="eastAsia" w:ascii="宋体" w:hAnsi="宋体" w:cs="宋体"/>
                <w:color w:val="000000"/>
                <w:szCs w:val="21"/>
              </w:rPr>
              <w:t xml:space="preserve">的提供符合招标（采购）文件要求的</w:t>
            </w:r>
            <w:r>
              <w:rPr>
                <w:rFonts w:hint="eastAsia" w:ascii="宋体" w:hAnsi="宋体" w:cs="宋体"/>
                <w:b/>
                <w:bCs/>
                <w:color w:val="000000"/>
                <w:szCs w:val="21"/>
              </w:rPr>
              <w:t xml:space="preserve">《小微企业声明函》</w:t>
            </w:r>
            <w:r>
              <w:rPr>
                <w:rFonts w:hint="eastAsia" w:ascii="宋体" w:hAnsi="宋体" w:cs="宋体"/>
                <w:color w:val="000000"/>
                <w:szCs w:val="21"/>
              </w:rPr>
              <w:t xml:space="preserve">或者</w:t>
            </w:r>
            <w:r>
              <w:rPr>
                <w:rFonts w:hint="eastAsia" w:ascii="宋体" w:hAnsi="宋体" w:cs="宋体"/>
                <w:b/>
                <w:bCs/>
                <w:color w:val="000000"/>
                <w:szCs w:val="21"/>
              </w:rPr>
              <w:t xml:space="preserve">《残疾人福利性单位声明函》</w:t>
            </w:r>
            <w:r>
              <w:rPr>
                <w:rFonts w:hint="eastAsia" w:ascii="宋体" w:hAnsi="宋体" w:cs="宋体"/>
                <w:color w:val="000000"/>
                <w:szCs w:val="21"/>
              </w:rPr>
              <w:t xml:space="preserve">或者</w:t>
            </w:r>
            <w:r>
              <w:rPr>
                <w:rFonts w:hint="eastAsia" w:ascii="宋体" w:hAnsi="宋体" w:cs="宋体"/>
                <w:b/>
                <w:bCs/>
                <w:color w:val="000000"/>
                <w:szCs w:val="21"/>
              </w:rPr>
              <w:t xml:space="preserve">监狱企业证明文件</w:t>
            </w:r>
            <w:r>
              <w:rPr>
                <w:rFonts w:hint="eastAsia" w:ascii="宋体" w:hAnsi="宋体" w:cs="宋体"/>
                <w:color w:val="000000"/>
                <w:szCs w:val="21"/>
              </w:rPr>
              <w:t xml:space="preserve">。(格式见《投标（响应）文件格式》)</w:t>
            </w:r>
            <w:r>
              <w:rPr>
                <w:rFonts w:ascii="宋体" w:hAnsi="宋体" w:cs="宋体"/>
                <w:color w:val="000000"/>
                <w:szCs w:val="21"/>
              </w:rPr>
              <w:t xml:space="preserve"> </w:t>
            </w:r>
            <w:r/>
          </w:p>
        </w:tc>
      </w:tr>
    </w:tbl>
    <w:p>
      <w:pPr>
        <w:spacing w:line="460" w:lineRule="exact"/>
        <w:rPr>
          <w:rFonts w:ascii="宋体" w:hAnsi="宋体"/>
          <w:bCs/>
          <w:sz w:val="24"/>
        </w:rPr>
      </w:pPr>
      <w:r>
        <w:rPr>
          <w:rFonts w:ascii="宋体" w:hAnsi="宋体"/>
          <w:bCs/>
          <w:sz w:val="24"/>
        </w:rPr>
      </w:r>
      <w:r/>
    </w:p>
    <w:p>
      <w:pPr>
        <w:rPr>
          <w:rFonts w:ascii="宋体" w:hAnsi="宋体"/>
          <w:sz w:val="24"/>
          <w:szCs w:val="24"/>
        </w:rPr>
      </w:pPr>
      <w:r>
        <w:rPr>
          <w:rFonts w:ascii="宋体" w:hAnsi="宋体"/>
          <w:sz w:val="24"/>
          <w:szCs w:val="24"/>
        </w:rPr>
      </w:r>
      <w:bookmarkEnd w:id="174"/>
      <w:r/>
      <w:bookmarkEnd w:id="175"/>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ind w:firstLine="420"/>
        <w:rPr>
          <w:rFonts w:ascii="Times New Roman" w:hAnsi="Times New Roman"/>
          <w:sz w:val="24"/>
          <w:szCs w:val="24"/>
          <w:lang w:val="zh-CN"/>
        </w:rPr>
      </w:pPr>
      <w:r>
        <w:rPr>
          <w:rFonts w:ascii="Times New Roman" w:hAnsi="Times New Roman"/>
          <w:sz w:val="24"/>
          <w:szCs w:val="24"/>
          <w:lang w:val="zh-CN"/>
        </w:rPr>
      </w:r>
      <w:r/>
    </w:p>
    <w:p>
      <w:pPr>
        <w:ind w:firstLine="420"/>
        <w:rPr>
          <w:rFonts w:ascii="Times New Roman" w:hAnsi="Times New Roman"/>
          <w:sz w:val="24"/>
          <w:szCs w:val="24"/>
          <w:lang w:val="zh-CN"/>
        </w:rPr>
      </w:pPr>
      <w:r>
        <w:rPr>
          <w:rFonts w:ascii="Times New Roman" w:hAnsi="Times New Roman"/>
          <w:sz w:val="24"/>
          <w:szCs w:val="24"/>
          <w:lang w:val="zh-CN"/>
        </w:rPr>
      </w:r>
      <w:r/>
    </w:p>
    <w:p>
      <w:pPr>
        <w:rPr>
          <w:lang w:val="zh-CN"/>
        </w:rPr>
      </w:pPr>
      <w:r>
        <w:rPr>
          <w:lang w:val="zh-CN"/>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right"/>
    </w:pPr>
    <w:r>
      <w:fldChar w:fldCharType="begin"/>
    </w:r>
    <w:r>
      <w:instrText xml:space="preserve">PAGE   \* MERGEFORMAT</w:instrText>
    </w:r>
    <w:r>
      <w:fldChar w:fldCharType="separate"/>
    </w:r>
    <w:r>
      <w:rPr>
        <w:lang w:val="zh-CN"/>
      </w:rPr>
      <w:t xml:space="preserve">-</w:t>
    </w:r>
    <w:r>
      <w:t xml:space="preserve"> 38 -</w:t>
    </w:r>
    <w:r>
      <w:fldChar w:fldCharType="end"/>
    </w:r>
    <w:r/>
  </w:p>
  <w:p>
    <w:pPr>
      <w:pStyle w:val="8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right"/>
    </w:pPr>
    <w:r>
      <w:fldChar w:fldCharType="begin"/>
    </w:r>
    <w:r>
      <w:instrText xml:space="preserve">PAGE   \* MERGEFORMAT</w:instrText>
    </w:r>
    <w:r>
      <w:fldChar w:fldCharType="separate"/>
    </w:r>
    <w:r>
      <w:rPr>
        <w:lang w:val="zh-CN"/>
      </w:rPr>
      <w:t xml:space="preserve">-</w:t>
    </w:r>
    <w:r>
      <w:t xml:space="preserve"> 43 -</w:t>
    </w:r>
    <w:r>
      <w:fldChar w:fldCharType="end"/>
    </w:r>
    <w:r/>
  </w:p>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upperLetter"/>
      <w:pStyle w:val="92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1"/>
      <w:isLgl w:val="false"/>
      <w:suff w:val="nothing"/>
      <w:lvlText w:val=""/>
      <w:lvlJc w:val="left"/>
      <w:pPr>
        <w:ind w:left="0" w:firstLine="0"/>
      </w:pPr>
      <w:rPr>
        <w:rFonts w:hint="eastAsia"/>
      </w:rPr>
    </w:lvl>
    <w:lvl w:ilvl="6">
      <w:start w:val="1"/>
      <w:numFmt w:val="none"/>
      <w:pStyle w:val="842"/>
      <w:isLgl w:val="false"/>
      <w:suff w:val="nothing"/>
      <w:lvlText w:val=""/>
      <w:lvlJc w:val="left"/>
      <w:pPr>
        <w:ind w:left="0" w:firstLine="0"/>
      </w:pPr>
      <w:rPr>
        <w:rFonts w:hint="eastAsia"/>
      </w:rPr>
    </w:lvl>
    <w:lvl w:ilvl="7">
      <w:start w:val="1"/>
      <w:numFmt w:val="none"/>
      <w:pStyle w:val="843"/>
      <w:isLgl w:val="false"/>
      <w:suff w:val="nothing"/>
      <w:lvlText w:val=""/>
      <w:lvlJc w:val="left"/>
      <w:pPr>
        <w:ind w:left="0" w:firstLine="0"/>
      </w:pPr>
      <w:rPr>
        <w:rFonts w:hint="eastAsia"/>
      </w:rPr>
    </w:lvl>
    <w:lvl w:ilvl="8">
      <w:start w:val="1"/>
      <w:numFmt w:val="none"/>
      <w:pStyle w:val="844"/>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845"/>
    <w:link w:val="836"/>
    <w:uiPriority w:val="9"/>
    <w:rPr>
      <w:rFonts w:ascii="Arial" w:hAnsi="Arial" w:eastAsia="Arial" w:cs="Arial"/>
      <w:sz w:val="40"/>
      <w:szCs w:val="40"/>
    </w:rPr>
  </w:style>
  <w:style w:type="character" w:styleId="683">
    <w:name w:val="Heading 2 Char"/>
    <w:basedOn w:val="845"/>
    <w:link w:val="837"/>
    <w:uiPriority w:val="9"/>
    <w:rPr>
      <w:rFonts w:ascii="Arial" w:hAnsi="Arial" w:eastAsia="Arial" w:cs="Arial"/>
      <w:sz w:val="34"/>
    </w:rPr>
  </w:style>
  <w:style w:type="character" w:styleId="684">
    <w:name w:val="Heading 3 Char"/>
    <w:basedOn w:val="845"/>
    <w:link w:val="838"/>
    <w:uiPriority w:val="9"/>
    <w:rPr>
      <w:rFonts w:ascii="Arial" w:hAnsi="Arial" w:eastAsia="Arial" w:cs="Arial"/>
      <w:sz w:val="30"/>
      <w:szCs w:val="30"/>
    </w:rPr>
  </w:style>
  <w:style w:type="character" w:styleId="685">
    <w:name w:val="Heading 4 Char"/>
    <w:basedOn w:val="845"/>
    <w:link w:val="839"/>
    <w:uiPriority w:val="9"/>
    <w:rPr>
      <w:rFonts w:ascii="Arial" w:hAnsi="Arial" w:eastAsia="Arial" w:cs="Arial"/>
      <w:b/>
      <w:bCs/>
      <w:sz w:val="26"/>
      <w:szCs w:val="26"/>
    </w:rPr>
  </w:style>
  <w:style w:type="character" w:styleId="686">
    <w:name w:val="Heading 5 Char"/>
    <w:basedOn w:val="845"/>
    <w:link w:val="840"/>
    <w:uiPriority w:val="9"/>
    <w:rPr>
      <w:rFonts w:ascii="Arial" w:hAnsi="Arial" w:eastAsia="Arial" w:cs="Arial"/>
      <w:b/>
      <w:bCs/>
      <w:sz w:val="24"/>
      <w:szCs w:val="24"/>
    </w:rPr>
  </w:style>
  <w:style w:type="character" w:styleId="687">
    <w:name w:val="Heading 6 Char"/>
    <w:basedOn w:val="845"/>
    <w:link w:val="841"/>
    <w:uiPriority w:val="9"/>
    <w:rPr>
      <w:rFonts w:ascii="Arial" w:hAnsi="Arial" w:eastAsia="Arial" w:cs="Arial"/>
      <w:b/>
      <w:bCs/>
      <w:sz w:val="22"/>
      <w:szCs w:val="22"/>
    </w:rPr>
  </w:style>
  <w:style w:type="character" w:styleId="688">
    <w:name w:val="Heading 7 Char"/>
    <w:basedOn w:val="845"/>
    <w:link w:val="842"/>
    <w:uiPriority w:val="9"/>
    <w:rPr>
      <w:rFonts w:ascii="Arial" w:hAnsi="Arial" w:eastAsia="Arial" w:cs="Arial"/>
      <w:b/>
      <w:bCs/>
      <w:i/>
      <w:iCs/>
      <w:sz w:val="22"/>
      <w:szCs w:val="22"/>
    </w:rPr>
  </w:style>
  <w:style w:type="character" w:styleId="689">
    <w:name w:val="Heading 8 Char"/>
    <w:basedOn w:val="845"/>
    <w:link w:val="843"/>
    <w:uiPriority w:val="9"/>
    <w:rPr>
      <w:rFonts w:ascii="Arial" w:hAnsi="Arial" w:eastAsia="Arial" w:cs="Arial"/>
      <w:i/>
      <w:iCs/>
      <w:sz w:val="22"/>
      <w:szCs w:val="22"/>
    </w:rPr>
  </w:style>
  <w:style w:type="character" w:styleId="690">
    <w:name w:val="Heading 9 Char"/>
    <w:basedOn w:val="845"/>
    <w:link w:val="844"/>
    <w:uiPriority w:val="9"/>
    <w:rPr>
      <w:rFonts w:ascii="Arial" w:hAnsi="Arial" w:eastAsia="Arial" w:cs="Arial"/>
      <w:i/>
      <w:iCs/>
      <w:sz w:val="21"/>
      <w:szCs w:val="21"/>
    </w:rPr>
  </w:style>
  <w:style w:type="paragraph" w:styleId="691">
    <w:name w:val="Title"/>
    <w:basedOn w:val="835"/>
    <w:next w:val="835"/>
    <w:link w:val="692"/>
    <w:uiPriority w:val="10"/>
    <w:qFormat/>
    <w:pPr>
      <w:contextualSpacing/>
      <w:spacing w:before="300" w:after="200"/>
    </w:pPr>
    <w:rPr>
      <w:sz w:val="48"/>
      <w:szCs w:val="48"/>
    </w:rPr>
  </w:style>
  <w:style w:type="character" w:styleId="692">
    <w:name w:val="Title Char"/>
    <w:basedOn w:val="845"/>
    <w:link w:val="691"/>
    <w:uiPriority w:val="10"/>
    <w:rPr>
      <w:sz w:val="48"/>
      <w:szCs w:val="48"/>
    </w:rPr>
  </w:style>
  <w:style w:type="paragraph" w:styleId="693">
    <w:name w:val="Subtitle"/>
    <w:basedOn w:val="835"/>
    <w:next w:val="835"/>
    <w:link w:val="694"/>
    <w:uiPriority w:val="11"/>
    <w:qFormat/>
    <w:pPr>
      <w:spacing w:before="200" w:after="200"/>
    </w:pPr>
    <w:rPr>
      <w:sz w:val="24"/>
      <w:szCs w:val="24"/>
    </w:rPr>
  </w:style>
  <w:style w:type="character" w:styleId="694">
    <w:name w:val="Subtitle Char"/>
    <w:basedOn w:val="845"/>
    <w:link w:val="693"/>
    <w:uiPriority w:val="11"/>
    <w:rPr>
      <w:sz w:val="24"/>
      <w:szCs w:val="24"/>
    </w:rPr>
  </w:style>
  <w:style w:type="paragraph" w:styleId="695">
    <w:name w:val="Quote"/>
    <w:basedOn w:val="835"/>
    <w:next w:val="835"/>
    <w:link w:val="696"/>
    <w:uiPriority w:val="29"/>
    <w:qFormat/>
    <w:pPr>
      <w:ind w:left="720" w:right="720"/>
    </w:pPr>
    <w:rPr>
      <w:i/>
    </w:rPr>
  </w:style>
  <w:style w:type="character" w:styleId="696">
    <w:name w:val="Quote Char"/>
    <w:link w:val="695"/>
    <w:uiPriority w:val="29"/>
    <w:rPr>
      <w:i/>
    </w:rPr>
  </w:style>
  <w:style w:type="paragraph" w:styleId="697">
    <w:name w:val="Intense Quote"/>
    <w:basedOn w:val="835"/>
    <w:next w:val="835"/>
    <w:link w:val="6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name w:val="Intense Quote Char"/>
    <w:link w:val="697"/>
    <w:uiPriority w:val="30"/>
    <w:rPr>
      <w:i/>
    </w:rPr>
  </w:style>
  <w:style w:type="character" w:styleId="699">
    <w:name w:val="Header Char"/>
    <w:basedOn w:val="845"/>
    <w:link w:val="865"/>
    <w:uiPriority w:val="99"/>
  </w:style>
  <w:style w:type="character" w:styleId="700">
    <w:name w:val="Footer Char"/>
    <w:basedOn w:val="845"/>
    <w:link w:val="864"/>
    <w:uiPriority w:val="99"/>
  </w:style>
  <w:style w:type="paragraph" w:styleId="701">
    <w:name w:val="Caption"/>
    <w:basedOn w:val="835"/>
    <w:next w:val="835"/>
    <w:uiPriority w:val="35"/>
    <w:semiHidden/>
    <w:unhideWhenUsed/>
    <w:qFormat/>
    <w:pPr>
      <w:spacing w:line="276" w:lineRule="auto"/>
    </w:pPr>
    <w:rPr>
      <w:b/>
      <w:bCs/>
      <w:color w:val="4f81bd" w:themeColor="accent1"/>
      <w:sz w:val="18"/>
      <w:szCs w:val="18"/>
    </w:rPr>
  </w:style>
  <w:style w:type="character" w:styleId="702">
    <w:name w:val="Caption Char"/>
    <w:basedOn w:val="701"/>
    <w:link w:val="864"/>
    <w:uiPriority w:val="99"/>
  </w:style>
  <w:style w:type="table" w:styleId="703">
    <w:name w:val="Table Grid Light"/>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basedOn w:val="8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basedOn w:val="8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basedOn w:val="8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basedOn w:val="8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basedOn w:val="8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basedOn w:val="8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9">
    <w:name w:val="Grid Table 5 Dark - Accent 2"/>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0">
    <w:name w:val="Grid Table 5 Dark - Accent 3"/>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1">
    <w:name w:val="Grid Table 5 Dark- Accent 4"/>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2">
    <w:name w:val="Grid Table 5 Dark - Accent 5"/>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3">
    <w:name w:val="Grid Table 5 Dark - Accent 6"/>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4">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basedOn w:val="8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basedOn w:val="8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basedOn w:val="8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0">
    <w:name w:val="Grid Table 6 Colorful - Accent 6"/>
    <w:basedOn w:val="8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1">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basedOn w:val="8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basedOn w:val="8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basedOn w:val="8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basedOn w:val="8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basedOn w:val="8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basedOn w:val="8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basedOn w:val="84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basedOn w:val="84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basedOn w:val="84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basedOn w:val="84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basedOn w:val="84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basedOn w:val="84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basedOn w:val="8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basedOn w:val="8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basedOn w:val="8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basedOn w:val="8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basedOn w:val="8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basedOn w:val="8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basedOn w:val="8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4">
    <w:name w:val="List Table 3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5">
    <w:name w:val="List Table 3 - Accent 3"/>
    <w:basedOn w:val="8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6">
    <w:name w:val="List Table 3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7">
    <w:name w:val="List Table 3 - Accent 5"/>
    <w:basedOn w:val="8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8">
    <w:name w:val="List Table 3 - Accent 6"/>
    <w:basedOn w:val="8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9">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basedOn w:val="8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1">
    <w:name w:val="List Table 4 - Accent 2"/>
    <w:basedOn w:val="8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2">
    <w:name w:val="List Table 4 - Accent 3"/>
    <w:basedOn w:val="8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3">
    <w:name w:val="List Table 4 - Accent 4"/>
    <w:basedOn w:val="8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4">
    <w:name w:val="List Table 4 - Accent 5"/>
    <w:basedOn w:val="8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5">
    <w:name w:val="List Table 4 - Accent 6"/>
    <w:basedOn w:val="8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6">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basedOn w:val="8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basedOn w:val="8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basedOn w:val="8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basedOn w:val="8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basedOn w:val="8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basedOn w:val="8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basedOn w:val="8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5">
    <w:name w:val="List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6">
    <w:name w:val="List Table 6 Colorful - Accent 3"/>
    <w:basedOn w:val="8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7">
    <w:name w:val="List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8">
    <w:name w:val="List Table 6 Colorful - Accent 5"/>
    <w:basedOn w:val="8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9">
    <w:name w:val="List Table 6 Colorful - Accent 6"/>
    <w:basedOn w:val="8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0">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basedOn w:val="8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2">
    <w:name w:val="List Table 7 Colorful - Accent 2"/>
    <w:basedOn w:val="8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3">
    <w:name w:val="List Table 7 Colorful - Accent 3"/>
    <w:basedOn w:val="8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4">
    <w:name w:val="List Table 7 Colorful - Accent 4"/>
    <w:basedOn w:val="8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5">
    <w:name w:val="List Table 7 Colorful - Accent 5"/>
    <w:basedOn w:val="8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6">
    <w:name w:val="List Table 7 Colorful - Accent 6"/>
    <w:basedOn w:val="8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7">
    <w:name w:val="Lined - Accent"/>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9">
    <w:name w:val="Lined - Accent 2"/>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0">
    <w:name w:val="Lined - Accent 3"/>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1">
    <w:name w:val="Lined - Accent 4"/>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2">
    <w:name w:val="Lined - Accent 5"/>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3">
    <w:name w:val="Lined - Accent 6"/>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4">
    <w:name w:val="Bordered &amp; Lined - Accent"/>
    <w:basedOn w:val="8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basedOn w:val="8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6">
    <w:name w:val="Bordered &amp; Lined - Accent 2"/>
    <w:basedOn w:val="8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7">
    <w:name w:val="Bordered &amp; Lined - Accent 3"/>
    <w:basedOn w:val="8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8">
    <w:name w:val="Bordered &amp; Lined - Accent 4"/>
    <w:basedOn w:val="8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9">
    <w:name w:val="Bordered &amp; Lined - Accent 5"/>
    <w:basedOn w:val="8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0">
    <w:name w:val="Bordered &amp; Lined - Accent 6"/>
    <w:basedOn w:val="8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1">
    <w:name w:val="Bordered"/>
    <w:basedOn w:val="8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8">
    <w:name w:val="footnote text"/>
    <w:basedOn w:val="835"/>
    <w:link w:val="829"/>
    <w:uiPriority w:val="99"/>
    <w:semiHidden/>
    <w:unhideWhenUsed/>
    <w:pPr>
      <w:spacing w:after="40" w:line="240" w:lineRule="auto"/>
    </w:pPr>
    <w:rPr>
      <w:sz w:val="18"/>
    </w:rPr>
  </w:style>
  <w:style w:type="character" w:styleId="829">
    <w:name w:val="Footnote Text Char"/>
    <w:link w:val="828"/>
    <w:uiPriority w:val="99"/>
    <w:rPr>
      <w:sz w:val="18"/>
    </w:rPr>
  </w:style>
  <w:style w:type="character" w:styleId="830">
    <w:name w:val="footnote reference"/>
    <w:basedOn w:val="845"/>
    <w:uiPriority w:val="99"/>
    <w:unhideWhenUsed/>
    <w:rPr>
      <w:vertAlign w:val="superscript"/>
    </w:rPr>
  </w:style>
  <w:style w:type="paragraph" w:styleId="831">
    <w:name w:val="endnote text"/>
    <w:basedOn w:val="835"/>
    <w:link w:val="832"/>
    <w:uiPriority w:val="99"/>
    <w:semiHidden/>
    <w:unhideWhenUsed/>
    <w:pPr>
      <w:spacing w:after="0" w:line="240" w:lineRule="auto"/>
    </w:pPr>
    <w:rPr>
      <w:sz w:val="20"/>
    </w:rPr>
  </w:style>
  <w:style w:type="character" w:styleId="832">
    <w:name w:val="Endnote Text Char"/>
    <w:link w:val="831"/>
    <w:uiPriority w:val="99"/>
    <w:rPr>
      <w:sz w:val="20"/>
    </w:rPr>
  </w:style>
  <w:style w:type="character" w:styleId="833">
    <w:name w:val="endnote reference"/>
    <w:basedOn w:val="845"/>
    <w:uiPriority w:val="99"/>
    <w:semiHidden/>
    <w:unhideWhenUsed/>
    <w:rPr>
      <w:vertAlign w:val="superscript"/>
    </w:rPr>
  </w:style>
  <w:style w:type="paragraph" w:styleId="834">
    <w:name w:val="TOC Heading"/>
    <w:uiPriority w:val="39"/>
    <w:unhideWhenUsed/>
  </w:style>
  <w:style w:type="paragraph" w:styleId="835" w:default="1">
    <w:name w:val="Normal"/>
    <w:qFormat/>
    <w:pPr>
      <w:jc w:val="both"/>
      <w:widowControl w:val="off"/>
    </w:pPr>
    <w:rPr>
      <w:rFonts w:ascii="Calibri" w:hAnsi="Calibri"/>
      <w:sz w:val="21"/>
      <w:szCs w:val="22"/>
    </w:rPr>
  </w:style>
  <w:style w:type="paragraph" w:styleId="836">
    <w:name w:val="Heading 1"/>
    <w:basedOn w:val="835"/>
    <w:next w:val="835"/>
    <w:link w:val="897"/>
    <w:qFormat/>
    <w:pPr>
      <w:jc w:val="center"/>
      <w:keepNext/>
      <w:outlineLvl w:val="0"/>
    </w:pPr>
    <w:rPr>
      <w:rFonts w:ascii="楷体_GB2312" w:hAnsi="Times New Roman" w:eastAsia="楷体_GB2312"/>
      <w:sz w:val="28"/>
      <w:szCs w:val="28"/>
    </w:rPr>
  </w:style>
  <w:style w:type="paragraph" w:styleId="837">
    <w:name w:val="Heading 2"/>
    <w:basedOn w:val="835"/>
    <w:next w:val="848"/>
    <w:link w:val="898"/>
    <w:qFormat/>
    <w:pPr>
      <w:jc w:val="center"/>
      <w:keepLines/>
      <w:keepNext/>
      <w:spacing w:before="260" w:after="260" w:line="416" w:lineRule="auto"/>
      <w:outlineLvl w:val="1"/>
    </w:pPr>
    <w:rPr>
      <w:rFonts w:ascii="Arial" w:hAnsi="Arial" w:eastAsia="幼圆" w:cs="Arial"/>
      <w:b/>
      <w:bCs/>
      <w:sz w:val="44"/>
      <w:szCs w:val="44"/>
    </w:rPr>
  </w:style>
  <w:style w:type="paragraph" w:styleId="838">
    <w:name w:val="Heading 3"/>
    <w:basedOn w:val="835"/>
    <w:next w:val="848"/>
    <w:link w:val="899"/>
    <w:qFormat/>
    <w:pPr>
      <w:keepLines/>
      <w:keepNext/>
      <w:spacing w:before="260" w:after="260" w:line="416" w:lineRule="auto"/>
      <w:outlineLvl w:val="2"/>
    </w:pPr>
    <w:rPr>
      <w:rFonts w:ascii="Times New Roman" w:hAnsi="Times New Roman"/>
      <w:b/>
      <w:bCs/>
      <w:sz w:val="32"/>
      <w:szCs w:val="32"/>
    </w:rPr>
  </w:style>
  <w:style w:type="paragraph" w:styleId="839">
    <w:name w:val="Heading 4"/>
    <w:basedOn w:val="835"/>
    <w:next w:val="848"/>
    <w:link w:val="900"/>
    <w:qFormat/>
    <w:pPr>
      <w:keepLines/>
      <w:keepNext/>
      <w:spacing w:before="280" w:after="290" w:line="376" w:lineRule="auto"/>
      <w:outlineLvl w:val="3"/>
    </w:pPr>
    <w:rPr>
      <w:rFonts w:ascii="Arial" w:hAnsi="Arial" w:eastAsia="黑体" w:cs="Arial"/>
      <w:b/>
      <w:bCs/>
      <w:sz w:val="28"/>
      <w:szCs w:val="28"/>
    </w:rPr>
  </w:style>
  <w:style w:type="paragraph" w:styleId="840">
    <w:name w:val="Heading 5"/>
    <w:basedOn w:val="835"/>
    <w:next w:val="848"/>
    <w:link w:val="901"/>
    <w:qFormat/>
    <w:pPr>
      <w:keepNext/>
      <w:outlineLvl w:val="4"/>
    </w:pPr>
    <w:rPr>
      <w:rFonts w:ascii="宋体" w:hAnsi="Times New Roman"/>
      <w:color w:val="000000"/>
      <w:sz w:val="28"/>
      <w:szCs w:val="28"/>
    </w:rPr>
  </w:style>
  <w:style w:type="paragraph" w:styleId="841">
    <w:name w:val="Heading 6"/>
    <w:basedOn w:val="835"/>
    <w:next w:val="835"/>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42">
    <w:name w:val="Heading 7"/>
    <w:basedOn w:val="835"/>
    <w:next w:val="835"/>
    <w:link w:val="903"/>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43">
    <w:name w:val="Heading 8"/>
    <w:basedOn w:val="835"/>
    <w:next w:val="835"/>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44">
    <w:name w:val="Heading 9"/>
    <w:basedOn w:val="835"/>
    <w:next w:val="835"/>
    <w:link w:val="905"/>
    <w:qFormat/>
    <w:pPr>
      <w:numPr>
        <w:ilvl w:val="8"/>
        <w:numId w:val="1"/>
      </w:numPr>
      <w:keepLines/>
      <w:keepNext/>
      <w:spacing w:before="240" w:after="64" w:line="320" w:lineRule="auto"/>
      <w:outlineLvl w:val="8"/>
    </w:pPr>
    <w:rPr>
      <w:rFonts w:ascii="Arial" w:hAnsi="Arial" w:eastAsia="黑体"/>
      <w:szCs w:val="21"/>
    </w:rPr>
  </w:style>
  <w:style w:type="character" w:styleId="845" w:default="1">
    <w:name w:val="Default Paragraph Font"/>
    <w:uiPriority w:val="1"/>
    <w:semiHidden/>
    <w:unhideWhenUsed/>
  </w:style>
  <w:style w:type="table" w:styleId="846" w:default="1">
    <w:name w:val="Normal Table"/>
    <w:uiPriority w:val="99"/>
    <w:semiHidden/>
    <w:unhideWhenUsed/>
    <w:tblPr>
      <w:tblInd w:w="0" w:type="dxa"/>
      <w:tblCellMar>
        <w:left w:w="108" w:type="dxa"/>
        <w:top w:w="0" w:type="dxa"/>
        <w:right w:w="108" w:type="dxa"/>
        <w:bottom w:w="0" w:type="dxa"/>
      </w:tblCellMar>
    </w:tblPr>
  </w:style>
  <w:style w:type="numbering" w:styleId="847" w:default="1">
    <w:name w:val="No List"/>
    <w:uiPriority w:val="99"/>
    <w:semiHidden/>
    <w:unhideWhenUsed/>
  </w:style>
  <w:style w:type="paragraph" w:styleId="848">
    <w:name w:val="Normal Indent"/>
    <w:basedOn w:val="835"/>
    <w:link w:val="907"/>
    <w:qFormat/>
    <w:pPr>
      <w:ind w:firstLine="420"/>
    </w:pPr>
    <w:rPr>
      <w:rFonts w:asciiTheme="minorHAnsi" w:hAnsiTheme="minorHAnsi" w:eastAsiaTheme="minorEastAsia" w:cstheme="minorBidi"/>
      <w:szCs w:val="21"/>
    </w:rPr>
  </w:style>
  <w:style w:type="paragraph" w:styleId="849">
    <w:name w:val="List 3"/>
    <w:basedOn w:val="835"/>
    <w:pPr>
      <w:ind w:left="100" w:hanging="200"/>
    </w:pPr>
    <w:rPr>
      <w:rFonts w:ascii="Times New Roman" w:hAnsi="Times New Roman"/>
      <w:szCs w:val="21"/>
    </w:rPr>
  </w:style>
  <w:style w:type="paragraph" w:styleId="850">
    <w:name w:val="toc 7"/>
    <w:basedOn w:val="835"/>
    <w:next w:val="835"/>
    <w:semiHidden/>
    <w:pPr>
      <w:ind w:left="1260"/>
      <w:jc w:val="left"/>
    </w:pPr>
    <w:rPr>
      <w:rFonts w:ascii="Times New Roman" w:hAnsi="Times New Roman"/>
      <w:szCs w:val="21"/>
    </w:rPr>
  </w:style>
  <w:style w:type="paragraph" w:styleId="851">
    <w:name w:val="Document Map"/>
    <w:basedOn w:val="835"/>
    <w:link w:val="940"/>
    <w:semiHidden/>
    <w:qFormat/>
    <w:pPr>
      <w:shd w:val="clear" w:color="auto" w:fill="000080"/>
    </w:pPr>
    <w:rPr>
      <w:rFonts w:ascii="Times New Roman" w:hAnsi="Times New Roman"/>
      <w:szCs w:val="21"/>
    </w:rPr>
  </w:style>
  <w:style w:type="paragraph" w:styleId="852">
    <w:name w:val="annotation text"/>
    <w:basedOn w:val="835"/>
    <w:link w:val="922"/>
    <w:unhideWhenUsed/>
    <w:qFormat/>
    <w:pPr>
      <w:jc w:val="left"/>
    </w:pPr>
  </w:style>
  <w:style w:type="paragraph" w:styleId="853">
    <w:name w:val="Body Text 3"/>
    <w:basedOn w:val="835"/>
    <w:link w:val="937"/>
    <w:qFormat/>
    <w:rPr>
      <w:rFonts w:ascii="仿宋_GB2312" w:hAnsi="Arial" w:eastAsia="仿宋_GB2312"/>
      <w:sz w:val="32"/>
      <w:szCs w:val="32"/>
    </w:rPr>
  </w:style>
  <w:style w:type="paragraph" w:styleId="854">
    <w:name w:val="Body Text"/>
    <w:basedOn w:val="835"/>
    <w:link w:val="917"/>
    <w:rPr>
      <w:rFonts w:ascii="楷体_GB2312" w:hAnsi="Arial" w:eastAsia="楷体_GB2312"/>
      <w:sz w:val="28"/>
      <w:szCs w:val="28"/>
    </w:rPr>
  </w:style>
  <w:style w:type="paragraph" w:styleId="855">
    <w:name w:val="Body Text Indent"/>
    <w:basedOn w:val="835"/>
    <w:link w:val="929"/>
    <w:unhideWhenUsed/>
    <w:qFormat/>
    <w:pPr>
      <w:ind w:left="420"/>
      <w:spacing w:after="120"/>
    </w:pPr>
  </w:style>
  <w:style w:type="paragraph" w:styleId="856">
    <w:name w:val="List 2"/>
    <w:basedOn w:val="835"/>
    <w:pPr>
      <w:ind w:left="100" w:hanging="200"/>
    </w:pPr>
    <w:rPr>
      <w:rFonts w:ascii="Times New Roman" w:hAnsi="Times New Roman"/>
      <w:szCs w:val="21"/>
    </w:rPr>
  </w:style>
  <w:style w:type="paragraph" w:styleId="857">
    <w:name w:val="toc 5"/>
    <w:basedOn w:val="835"/>
    <w:next w:val="835"/>
    <w:semiHidden/>
    <w:qFormat/>
    <w:pPr>
      <w:ind w:left="840"/>
      <w:jc w:val="left"/>
    </w:pPr>
    <w:rPr>
      <w:rFonts w:ascii="Times New Roman" w:hAnsi="Times New Roman"/>
      <w:szCs w:val="21"/>
    </w:rPr>
  </w:style>
  <w:style w:type="paragraph" w:styleId="858">
    <w:name w:val="toc 3"/>
    <w:basedOn w:val="835"/>
    <w:next w:val="835"/>
    <w:semiHidden/>
    <w:qFormat/>
    <w:pPr>
      <w:ind w:left="420"/>
      <w:jc w:val="left"/>
    </w:pPr>
    <w:rPr>
      <w:rFonts w:ascii="Times New Roman" w:hAnsi="Times New Roman"/>
      <w:i/>
      <w:iCs/>
      <w:szCs w:val="24"/>
    </w:rPr>
  </w:style>
  <w:style w:type="paragraph" w:styleId="859">
    <w:name w:val="Plain Text"/>
    <w:basedOn w:val="835"/>
    <w:link w:val="949"/>
    <w:qFormat/>
    <w:rPr>
      <w:rFonts w:ascii="宋体" w:hAnsi="Courier New" w:cs="Courier New"/>
      <w:szCs w:val="21"/>
    </w:rPr>
  </w:style>
  <w:style w:type="paragraph" w:styleId="860">
    <w:name w:val="toc 8"/>
    <w:basedOn w:val="835"/>
    <w:next w:val="835"/>
    <w:semiHidden/>
    <w:pPr>
      <w:ind w:left="1470"/>
      <w:jc w:val="left"/>
    </w:pPr>
    <w:rPr>
      <w:rFonts w:ascii="Times New Roman" w:hAnsi="Times New Roman"/>
      <w:szCs w:val="21"/>
    </w:rPr>
  </w:style>
  <w:style w:type="paragraph" w:styleId="861">
    <w:name w:val="Date"/>
    <w:basedOn w:val="835"/>
    <w:next w:val="835"/>
    <w:link w:val="955"/>
    <w:qFormat/>
    <w:rPr>
      <w:rFonts w:ascii="Times New Roman" w:hAnsi="Times New Roman"/>
      <w:sz w:val="24"/>
      <w:szCs w:val="24"/>
    </w:rPr>
  </w:style>
  <w:style w:type="paragraph" w:styleId="862">
    <w:name w:val="Body Text Indent 2"/>
    <w:basedOn w:val="835"/>
    <w:link w:val="915"/>
    <w:qFormat/>
    <w:pPr>
      <w:ind w:left="630" w:firstLine="645"/>
    </w:pPr>
    <w:rPr>
      <w:rFonts w:ascii="Arial" w:hAnsi="Arial" w:eastAsia="仿宋_GB2312" w:cs="Arial"/>
      <w:sz w:val="32"/>
      <w:szCs w:val="32"/>
    </w:rPr>
  </w:style>
  <w:style w:type="paragraph" w:styleId="863">
    <w:name w:val="Balloon Text"/>
    <w:basedOn w:val="835"/>
    <w:link w:val="951"/>
    <w:semiHidden/>
    <w:rPr>
      <w:rFonts w:ascii="Times New Roman" w:hAnsi="Times New Roman"/>
      <w:sz w:val="18"/>
      <w:szCs w:val="18"/>
    </w:rPr>
  </w:style>
  <w:style w:type="paragraph" w:styleId="864">
    <w:name w:val="Footer"/>
    <w:basedOn w:val="835"/>
    <w:link w:val="887"/>
    <w:uiPriority w:val="99"/>
    <w:unhideWhenUsed/>
    <w:qFormat/>
    <w:pPr>
      <w:jc w:val="left"/>
      <w:tabs>
        <w:tab w:val="center" w:pos="4153" w:leader="none"/>
        <w:tab w:val="right" w:pos="8306" w:leader="none"/>
      </w:tabs>
    </w:pPr>
    <w:rPr>
      <w:sz w:val="18"/>
      <w:szCs w:val="18"/>
    </w:rPr>
  </w:style>
  <w:style w:type="paragraph" w:styleId="865">
    <w:name w:val="Header"/>
    <w:basedOn w:val="835"/>
    <w:link w:val="886"/>
    <w:unhideWhenUsed/>
    <w:qFormat/>
    <w:pPr>
      <w:jc w:val="center"/>
      <w:tabs>
        <w:tab w:val="center" w:pos="4153" w:leader="none"/>
        <w:tab w:val="right" w:pos="8306" w:leader="none"/>
      </w:tabs>
      <w:pBdr>
        <w:bottom w:val="single" w:color="auto" w:sz="6" w:space="1"/>
      </w:pBdr>
    </w:pPr>
    <w:rPr>
      <w:sz w:val="18"/>
      <w:szCs w:val="18"/>
    </w:rPr>
  </w:style>
  <w:style w:type="paragraph" w:styleId="866">
    <w:name w:val="toc 1"/>
    <w:basedOn w:val="835"/>
    <w:next w:val="835"/>
    <w:semiHidden/>
    <w:qFormat/>
    <w:pPr>
      <w:jc w:val="left"/>
      <w:spacing w:before="120" w:after="120" w:line="400" w:lineRule="exact"/>
      <w:tabs>
        <w:tab w:val="right" w:pos="8720" w:leader="dot"/>
      </w:tabs>
    </w:pPr>
    <w:rPr>
      <w:rFonts w:ascii="宋体" w:hAnsi="宋体"/>
      <w:caps/>
      <w:sz w:val="24"/>
      <w:szCs w:val="24"/>
    </w:rPr>
  </w:style>
  <w:style w:type="paragraph" w:styleId="867">
    <w:name w:val="toc 4"/>
    <w:basedOn w:val="835"/>
    <w:next w:val="835"/>
    <w:semiHidden/>
    <w:qFormat/>
    <w:pPr>
      <w:ind w:left="630"/>
      <w:jc w:val="left"/>
    </w:pPr>
    <w:rPr>
      <w:rFonts w:ascii="Times New Roman" w:hAnsi="Times New Roman"/>
      <w:szCs w:val="21"/>
    </w:rPr>
  </w:style>
  <w:style w:type="paragraph" w:styleId="868">
    <w:name w:val="List"/>
    <w:basedOn w:val="835"/>
    <w:qFormat/>
    <w:pPr>
      <w:ind w:left="200" w:hanging="200"/>
    </w:pPr>
    <w:rPr>
      <w:rFonts w:ascii="Times New Roman" w:hAnsi="Times New Roman"/>
      <w:szCs w:val="21"/>
    </w:rPr>
  </w:style>
  <w:style w:type="paragraph" w:styleId="869">
    <w:name w:val="toc 6"/>
    <w:basedOn w:val="835"/>
    <w:next w:val="835"/>
    <w:semiHidden/>
    <w:qFormat/>
    <w:pPr>
      <w:ind w:left="1050"/>
      <w:jc w:val="left"/>
    </w:pPr>
    <w:rPr>
      <w:rFonts w:ascii="Times New Roman" w:hAnsi="Times New Roman"/>
      <w:szCs w:val="21"/>
    </w:rPr>
  </w:style>
  <w:style w:type="paragraph" w:styleId="870">
    <w:name w:val="Body Text Indent 3"/>
    <w:basedOn w:val="835"/>
    <w:link w:val="933"/>
    <w:qFormat/>
    <w:pPr>
      <w:ind w:left="645" w:firstLine="645"/>
    </w:pPr>
    <w:rPr>
      <w:rFonts w:ascii="Arial" w:hAnsi="Arial" w:eastAsia="仿宋_GB2312" w:cs="Arial"/>
      <w:color w:val="ffff00"/>
      <w:sz w:val="32"/>
      <w:szCs w:val="32"/>
    </w:rPr>
  </w:style>
  <w:style w:type="paragraph" w:styleId="871">
    <w:name w:val="table of figures"/>
    <w:basedOn w:val="835"/>
    <w:next w:val="835"/>
    <w:semiHidden/>
    <w:qFormat/>
    <w:pPr>
      <w:ind w:left="840" w:hanging="420"/>
    </w:pPr>
    <w:rPr>
      <w:rFonts w:ascii="Times New Roman" w:hAnsi="Times New Roman"/>
      <w:szCs w:val="21"/>
    </w:rPr>
  </w:style>
  <w:style w:type="paragraph" w:styleId="872">
    <w:name w:val="toc 2"/>
    <w:basedOn w:val="835"/>
    <w:next w:val="835"/>
    <w:semiHidden/>
    <w:qFormat/>
    <w:pPr>
      <w:ind w:left="210"/>
      <w:jc w:val="left"/>
    </w:pPr>
    <w:rPr>
      <w:rFonts w:ascii="Times New Roman" w:hAnsi="Times New Roman"/>
      <w:smallCaps/>
      <w:szCs w:val="24"/>
    </w:rPr>
  </w:style>
  <w:style w:type="paragraph" w:styleId="873">
    <w:name w:val="toc 9"/>
    <w:basedOn w:val="835"/>
    <w:next w:val="835"/>
    <w:semiHidden/>
    <w:qFormat/>
    <w:pPr>
      <w:ind w:left="1680"/>
      <w:jc w:val="left"/>
    </w:pPr>
    <w:rPr>
      <w:rFonts w:ascii="Times New Roman" w:hAnsi="Times New Roman"/>
      <w:szCs w:val="21"/>
    </w:rPr>
  </w:style>
  <w:style w:type="paragraph" w:styleId="874">
    <w:name w:val="Body Text 2"/>
    <w:basedOn w:val="835"/>
    <w:link w:val="961"/>
    <w:qFormat/>
    <w:pPr>
      <w:jc w:val="center"/>
      <w:widowControl/>
    </w:pPr>
    <w:rPr>
      <w:rFonts w:ascii="楷体_GB2312" w:hAnsi="Times New Roman" w:eastAsia="楷体_GB2312"/>
      <w:sz w:val="28"/>
      <w:szCs w:val="28"/>
    </w:rPr>
  </w:style>
  <w:style w:type="paragraph" w:styleId="875">
    <w:name w:val="Normal (Web)"/>
    <w:basedOn w:val="835"/>
    <w:uiPriority w:val="99"/>
    <w:qFormat/>
    <w:pPr>
      <w:jc w:val="left"/>
      <w:spacing w:before="100" w:beforeAutospacing="1" w:after="100" w:afterAutospacing="1"/>
      <w:widowControl/>
    </w:pPr>
    <w:rPr>
      <w:rFonts w:ascii="宋体" w:hAnsi="宋体" w:cs="宋体"/>
      <w:sz w:val="24"/>
      <w:szCs w:val="24"/>
    </w:rPr>
  </w:style>
  <w:style w:type="paragraph" w:styleId="876">
    <w:name w:val="index 1"/>
    <w:basedOn w:val="835"/>
    <w:next w:val="835"/>
    <w:semiHidden/>
    <w:qFormat/>
    <w:pPr>
      <w:spacing w:line="240" w:lineRule="atLeast"/>
    </w:pPr>
    <w:rPr>
      <w:rFonts w:ascii="Times New Roman" w:hAnsi="Times New Roman"/>
      <w:b/>
      <w:bCs/>
      <w:szCs w:val="21"/>
    </w:rPr>
  </w:style>
  <w:style w:type="paragraph" w:styleId="877">
    <w:name w:val="annotation subject"/>
    <w:basedOn w:val="852"/>
    <w:next w:val="852"/>
    <w:link w:val="924"/>
    <w:semiHidden/>
    <w:qFormat/>
    <w:rPr>
      <w:rFonts w:ascii="Times New Roman" w:hAnsi="Times New Roman"/>
      <w:b/>
      <w:bCs/>
      <w:szCs w:val="21"/>
    </w:rPr>
  </w:style>
  <w:style w:type="paragraph" w:styleId="878">
    <w:name w:val="Body Text First Indent"/>
    <w:basedOn w:val="835"/>
    <w:link w:val="945"/>
    <w:qFormat/>
    <w:pPr>
      <w:ind w:firstLine="200"/>
      <w:spacing w:line="360" w:lineRule="auto"/>
    </w:pPr>
    <w:rPr>
      <w:rFonts w:ascii="仿宋_GB2312" w:hAnsi="Times New Roman" w:eastAsia="仿宋_GB2312"/>
      <w:sz w:val="30"/>
      <w:szCs w:val="30"/>
    </w:rPr>
  </w:style>
  <w:style w:type="paragraph" w:styleId="879">
    <w:name w:val="Body Text First Indent 2"/>
    <w:basedOn w:val="855"/>
    <w:link w:val="931"/>
    <w:qFormat/>
    <w:pPr>
      <w:ind w:left="0" w:firstLine="420"/>
      <w:spacing w:after="0" w:line="360" w:lineRule="auto"/>
    </w:pPr>
    <w:rPr>
      <w:rFonts w:ascii="宋体" w:hAnsi="宋体"/>
      <w:szCs w:val="20"/>
    </w:rPr>
  </w:style>
  <w:style w:type="table" w:styleId="880">
    <w:name w:val="Table Grid"/>
    <w:basedOn w:val="84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1">
    <w:name w:val="Strong"/>
    <w:qFormat/>
    <w:rPr>
      <w:b/>
      <w:bCs/>
    </w:rPr>
  </w:style>
  <w:style w:type="character" w:styleId="882">
    <w:name w:val="page number"/>
    <w:qFormat/>
  </w:style>
  <w:style w:type="character" w:styleId="883">
    <w:name w:val="FollowedHyperlink"/>
    <w:qFormat/>
    <w:rPr>
      <w:color w:val="800080"/>
      <w:u w:val="single"/>
    </w:rPr>
  </w:style>
  <w:style w:type="character" w:styleId="884">
    <w:name w:val="Hyperlink"/>
    <w:qFormat/>
    <w:rPr>
      <w:color w:val="0000ff"/>
      <w:u w:val="single"/>
    </w:rPr>
  </w:style>
  <w:style w:type="character" w:styleId="885">
    <w:name w:val="annotation reference"/>
    <w:qFormat/>
    <w:rPr>
      <w:sz w:val="21"/>
      <w:szCs w:val="21"/>
    </w:rPr>
  </w:style>
  <w:style w:type="character" w:styleId="886" w:customStyle="1">
    <w:name w:val="页眉 字符"/>
    <w:basedOn w:val="845"/>
    <w:link w:val="865"/>
    <w:uiPriority w:val="99"/>
    <w:qFormat/>
    <w:rPr>
      <w:sz w:val="18"/>
      <w:szCs w:val="18"/>
    </w:rPr>
  </w:style>
  <w:style w:type="character" w:styleId="887" w:customStyle="1">
    <w:name w:val="页脚 字符"/>
    <w:basedOn w:val="845"/>
    <w:link w:val="864"/>
    <w:uiPriority w:val="99"/>
    <w:qFormat/>
    <w:rPr>
      <w:sz w:val="18"/>
      <w:szCs w:val="18"/>
    </w:rPr>
  </w:style>
  <w:style w:type="character" w:styleId="888" w:customStyle="1">
    <w:name w:val="标题 1 字符"/>
    <w:basedOn w:val="845"/>
    <w:uiPriority w:val="9"/>
    <w:qFormat/>
    <w:rPr>
      <w:rFonts w:ascii="Calibri" w:hAnsi="Calibri" w:eastAsia="宋体" w:cs="Times New Roman"/>
      <w:b/>
      <w:bCs/>
      <w:sz w:val="44"/>
      <w:szCs w:val="44"/>
    </w:rPr>
  </w:style>
  <w:style w:type="character" w:styleId="889" w:customStyle="1">
    <w:name w:val="标题 2 字符"/>
    <w:basedOn w:val="845"/>
    <w:uiPriority w:val="9"/>
    <w:semiHidden/>
    <w:qFormat/>
    <w:rPr>
      <w:rFonts w:asciiTheme="majorHAnsi" w:hAnsiTheme="majorHAnsi" w:eastAsiaTheme="majorEastAsia" w:cstheme="majorBidi"/>
      <w:b/>
      <w:bCs/>
      <w:sz w:val="32"/>
      <w:szCs w:val="32"/>
    </w:rPr>
  </w:style>
  <w:style w:type="character" w:styleId="890" w:customStyle="1">
    <w:name w:val="标题 3 字符"/>
    <w:basedOn w:val="845"/>
    <w:uiPriority w:val="9"/>
    <w:semiHidden/>
    <w:qFormat/>
    <w:rPr>
      <w:rFonts w:ascii="Calibri" w:hAnsi="Calibri" w:eastAsia="宋体" w:cs="Times New Roman"/>
      <w:b/>
      <w:bCs/>
      <w:sz w:val="32"/>
      <w:szCs w:val="32"/>
    </w:rPr>
  </w:style>
  <w:style w:type="character" w:styleId="891" w:customStyle="1">
    <w:name w:val="标题 4 字符"/>
    <w:basedOn w:val="845"/>
    <w:uiPriority w:val="9"/>
    <w:semiHidden/>
    <w:qFormat/>
    <w:rPr>
      <w:rFonts w:asciiTheme="majorHAnsi" w:hAnsiTheme="majorHAnsi" w:eastAsiaTheme="majorEastAsia" w:cstheme="majorBidi"/>
      <w:b/>
      <w:bCs/>
      <w:sz w:val="28"/>
      <w:szCs w:val="28"/>
    </w:rPr>
  </w:style>
  <w:style w:type="character" w:styleId="892" w:customStyle="1">
    <w:name w:val="标题 5 字符"/>
    <w:basedOn w:val="845"/>
    <w:uiPriority w:val="9"/>
    <w:semiHidden/>
    <w:qFormat/>
    <w:rPr>
      <w:rFonts w:ascii="Calibri" w:hAnsi="Calibri" w:eastAsia="宋体" w:cs="Times New Roman"/>
      <w:b/>
      <w:bCs/>
      <w:sz w:val="28"/>
      <w:szCs w:val="28"/>
    </w:rPr>
  </w:style>
  <w:style w:type="character" w:styleId="893" w:customStyle="1">
    <w:name w:val="标题 6 字符"/>
    <w:basedOn w:val="845"/>
    <w:uiPriority w:val="9"/>
    <w:semiHidden/>
    <w:qFormat/>
    <w:rPr>
      <w:rFonts w:asciiTheme="majorHAnsi" w:hAnsiTheme="majorHAnsi" w:eastAsiaTheme="majorEastAsia" w:cstheme="majorBidi"/>
      <w:b/>
      <w:bCs/>
      <w:sz w:val="24"/>
      <w:szCs w:val="24"/>
    </w:rPr>
  </w:style>
  <w:style w:type="character" w:styleId="894" w:customStyle="1">
    <w:name w:val="标题 7 字符"/>
    <w:basedOn w:val="845"/>
    <w:uiPriority w:val="9"/>
    <w:semiHidden/>
    <w:qFormat/>
    <w:rPr>
      <w:rFonts w:ascii="Calibri" w:hAnsi="Calibri" w:eastAsia="宋体" w:cs="Times New Roman"/>
      <w:b/>
      <w:bCs/>
      <w:sz w:val="24"/>
      <w:szCs w:val="24"/>
    </w:rPr>
  </w:style>
  <w:style w:type="character" w:styleId="895" w:customStyle="1">
    <w:name w:val="标题 8 字符"/>
    <w:basedOn w:val="845"/>
    <w:uiPriority w:val="9"/>
    <w:semiHidden/>
    <w:qFormat/>
    <w:rPr>
      <w:rFonts w:asciiTheme="majorHAnsi" w:hAnsiTheme="majorHAnsi" w:eastAsiaTheme="majorEastAsia" w:cstheme="majorBidi"/>
      <w:sz w:val="24"/>
      <w:szCs w:val="24"/>
    </w:rPr>
  </w:style>
  <w:style w:type="character" w:styleId="896" w:customStyle="1">
    <w:name w:val="标题 9 字符"/>
    <w:basedOn w:val="845"/>
    <w:uiPriority w:val="9"/>
    <w:semiHidden/>
    <w:qFormat/>
    <w:rPr>
      <w:rFonts w:asciiTheme="majorHAnsi" w:hAnsiTheme="majorHAnsi" w:eastAsiaTheme="majorEastAsia" w:cstheme="majorBidi"/>
      <w:szCs w:val="21"/>
    </w:rPr>
  </w:style>
  <w:style w:type="character" w:styleId="897" w:customStyle="1">
    <w:name w:val="标题 1 字符1"/>
    <w:link w:val="836"/>
    <w:qFormat/>
    <w:rPr>
      <w:rFonts w:ascii="楷体_GB2312" w:hAnsi="Times New Roman" w:eastAsia="楷体_GB2312" w:cs="Times New Roman"/>
      <w:sz w:val="28"/>
      <w:szCs w:val="28"/>
    </w:rPr>
  </w:style>
  <w:style w:type="character" w:styleId="898" w:customStyle="1">
    <w:name w:val="标题 2 字符1"/>
    <w:link w:val="837"/>
    <w:qFormat/>
    <w:rPr>
      <w:rFonts w:ascii="Arial" w:hAnsi="Arial" w:eastAsia="幼圆" w:cs="Arial"/>
      <w:b/>
      <w:bCs/>
      <w:sz w:val="44"/>
      <w:szCs w:val="44"/>
    </w:rPr>
  </w:style>
  <w:style w:type="character" w:styleId="899" w:customStyle="1">
    <w:name w:val="标题 3 字符1"/>
    <w:link w:val="838"/>
    <w:qFormat/>
    <w:rPr>
      <w:rFonts w:ascii="Times New Roman" w:hAnsi="Times New Roman" w:eastAsia="宋体" w:cs="Times New Roman"/>
      <w:b/>
      <w:bCs/>
      <w:sz w:val="32"/>
      <w:szCs w:val="32"/>
    </w:rPr>
  </w:style>
  <w:style w:type="character" w:styleId="900" w:customStyle="1">
    <w:name w:val="标题 4 字符1"/>
    <w:link w:val="839"/>
    <w:qFormat/>
    <w:rPr>
      <w:rFonts w:ascii="Arial" w:hAnsi="Arial" w:eastAsia="黑体" w:cs="Arial"/>
      <w:b/>
      <w:bCs/>
      <w:sz w:val="28"/>
      <w:szCs w:val="28"/>
    </w:rPr>
  </w:style>
  <w:style w:type="character" w:styleId="901" w:customStyle="1">
    <w:name w:val="标题 5 字符1"/>
    <w:link w:val="840"/>
    <w:qFormat/>
    <w:rPr>
      <w:rFonts w:ascii="宋体" w:hAnsi="Times New Roman" w:eastAsia="宋体" w:cs="Times New Roman"/>
      <w:color w:val="000000"/>
      <w:sz w:val="28"/>
      <w:szCs w:val="28"/>
    </w:rPr>
  </w:style>
  <w:style w:type="character" w:styleId="902" w:customStyle="1">
    <w:name w:val="标题 6 字符1"/>
    <w:link w:val="841"/>
    <w:qFormat/>
    <w:rPr>
      <w:rFonts w:ascii="Arial" w:hAnsi="Arial" w:eastAsia="黑体" w:cs="Times New Roman"/>
      <w:b/>
      <w:bCs/>
      <w:sz w:val="24"/>
      <w:szCs w:val="24"/>
    </w:rPr>
  </w:style>
  <w:style w:type="character" w:styleId="903" w:customStyle="1">
    <w:name w:val="标题 7 字符1"/>
    <w:link w:val="842"/>
    <w:qFormat/>
    <w:rPr>
      <w:rFonts w:ascii="Times New Roman" w:hAnsi="Times New Roman" w:eastAsia="宋体" w:cs="Times New Roman"/>
      <w:b/>
      <w:bCs/>
      <w:sz w:val="24"/>
      <w:szCs w:val="24"/>
    </w:rPr>
  </w:style>
  <w:style w:type="character" w:styleId="904" w:customStyle="1">
    <w:name w:val="标题 8 字符1"/>
    <w:link w:val="843"/>
    <w:qFormat/>
    <w:rPr>
      <w:rFonts w:ascii="Arial" w:hAnsi="Arial" w:eastAsia="黑体" w:cs="Times New Roman"/>
      <w:sz w:val="24"/>
      <w:szCs w:val="24"/>
    </w:rPr>
  </w:style>
  <w:style w:type="character" w:styleId="905" w:customStyle="1">
    <w:name w:val="标题 9 字符1"/>
    <w:link w:val="844"/>
    <w:qFormat/>
    <w:rPr>
      <w:rFonts w:ascii="Arial" w:hAnsi="Arial" w:eastAsia="黑体" w:cs="Times New Roman"/>
      <w:szCs w:val="21"/>
    </w:rPr>
  </w:style>
  <w:style w:type="character" w:styleId="906" w:customStyle="1">
    <w:name w:val="font5 Char"/>
    <w:qFormat/>
    <w:rPr>
      <w:rFonts w:ascii="宋体" w:hAnsi="宋体" w:eastAsia="宋体"/>
      <w:sz w:val="28"/>
      <w:szCs w:val="28"/>
      <w:lang w:val="en-US" w:eastAsia="zh-CN" w:bidi="ar-SA"/>
    </w:rPr>
  </w:style>
  <w:style w:type="character" w:styleId="907" w:customStyle="1">
    <w:name w:val="正文缩进 字符"/>
    <w:link w:val="848"/>
    <w:qFormat/>
    <w:rPr>
      <w:szCs w:val="21"/>
    </w:rPr>
  </w:style>
  <w:style w:type="character" w:styleId="908" w:customStyle="1">
    <w:name w:val="二级目录 Char"/>
    <w:link w:val="909"/>
    <w:qFormat/>
    <w:rPr>
      <w:rFonts w:asciiTheme="minorHAnsi" w:hAnsiTheme="minorHAnsi" w:eastAsiaTheme="minorEastAsia" w:cstheme="minorBidi"/>
      <w:b/>
      <w:sz w:val="30"/>
      <w:szCs w:val="28"/>
    </w:rPr>
  </w:style>
  <w:style w:type="paragraph" w:styleId="909" w:customStyle="1">
    <w:name w:val="二级目录"/>
    <w:next w:val="835"/>
    <w:link w:val="908"/>
    <w:qFormat/>
    <w:pPr>
      <w:ind w:left="907" w:hanging="907"/>
      <w:tabs>
        <w:tab w:val="left" w:pos="907" w:leader="none"/>
        <w:tab w:val="left" w:pos="1145" w:leader="none"/>
      </w:tabs>
      <w:outlineLvl w:val="1"/>
    </w:pPr>
    <w:rPr>
      <w:rFonts w:asciiTheme="minorHAnsi" w:hAnsiTheme="minorHAnsi" w:eastAsiaTheme="minorEastAsia" w:cstheme="minorBidi"/>
      <w:b/>
      <w:sz w:val="30"/>
      <w:szCs w:val="28"/>
    </w:rPr>
  </w:style>
  <w:style w:type="character" w:styleId="910" w:customStyle="1">
    <w:name w:val="列出段落 Char"/>
    <w:link w:val="911"/>
    <w:qFormat/>
    <w:rPr>
      <w:rFonts w:ascii="Calibri" w:hAnsi="Calibri"/>
      <w:sz w:val="24"/>
      <w:szCs w:val="24"/>
      <w:lang w:eastAsia="en-US" w:bidi="en-US"/>
    </w:rPr>
  </w:style>
  <w:style w:type="paragraph" w:styleId="911" w:customStyle="1">
    <w:name w:val="列出段落1"/>
    <w:basedOn w:val="835"/>
    <w:link w:val="910"/>
    <w:qFormat/>
    <w:pPr>
      <w:contextualSpacing/>
      <w:ind w:left="720"/>
      <w:jc w:val="left"/>
      <w:widowControl/>
    </w:pPr>
    <w:rPr>
      <w:rFonts w:eastAsiaTheme="minorEastAsia" w:cstheme="minorBidi"/>
      <w:sz w:val="24"/>
      <w:szCs w:val="24"/>
      <w:lang w:eastAsia="en-US" w:bidi="en-US"/>
    </w:rPr>
  </w:style>
  <w:style w:type="paragraph" w:styleId="912" w:customStyle="1">
    <w:name w:val="Body Text(ch)"/>
    <w:basedOn w:val="835"/>
    <w:next w:val="854"/>
    <w:qFormat/>
    <w:pPr>
      <w:spacing w:after="120"/>
    </w:pPr>
    <w:rPr>
      <w:rFonts w:ascii="宋体" w:hAnsi="Arial"/>
      <w:bCs/>
      <w:iCs/>
      <w:szCs w:val="24"/>
    </w:rPr>
  </w:style>
  <w:style w:type="paragraph" w:styleId="913" w:customStyle="1">
    <w:name w:val="xl27"/>
    <w:basedOn w:val="83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914" w:customStyle="1">
    <w:name w:val="正文文本缩进 2 字符"/>
    <w:basedOn w:val="845"/>
    <w:qFormat/>
    <w:rPr>
      <w:rFonts w:ascii="Calibri" w:hAnsi="Calibri" w:eastAsia="宋体" w:cs="Times New Roman"/>
    </w:rPr>
  </w:style>
  <w:style w:type="character" w:styleId="915" w:customStyle="1">
    <w:name w:val="正文文本缩进 2 字符1"/>
    <w:link w:val="862"/>
    <w:qFormat/>
    <w:rPr>
      <w:rFonts w:ascii="Arial" w:hAnsi="Arial" w:eastAsia="仿宋_GB2312" w:cs="Arial"/>
      <w:sz w:val="32"/>
      <w:szCs w:val="32"/>
    </w:rPr>
  </w:style>
  <w:style w:type="character" w:styleId="916" w:customStyle="1">
    <w:name w:val="正文文本 字符"/>
    <w:basedOn w:val="845"/>
    <w:uiPriority w:val="99"/>
    <w:semiHidden/>
    <w:qFormat/>
    <w:rPr>
      <w:rFonts w:ascii="Calibri" w:hAnsi="Calibri" w:eastAsia="宋体" w:cs="Times New Roman"/>
    </w:rPr>
  </w:style>
  <w:style w:type="character" w:styleId="917" w:customStyle="1">
    <w:name w:val="正文文本 字符1"/>
    <w:link w:val="854"/>
    <w:qFormat/>
    <w:rPr>
      <w:rFonts w:ascii="楷体_GB2312" w:hAnsi="Arial" w:eastAsia="楷体_GB2312" w:cs="Times New Roman"/>
      <w:sz w:val="28"/>
      <w:szCs w:val="28"/>
    </w:rPr>
  </w:style>
  <w:style w:type="paragraph" w:styleId="918" w:customStyle="1">
    <w:name w:val="xl26"/>
    <w:basedOn w:val="83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19" w:customStyle="1">
    <w:name w:val="Char"/>
    <w:basedOn w:val="835"/>
    <w:qFormat/>
    <w:pPr>
      <w:ind w:firstLine="200"/>
      <w:tabs>
        <w:tab w:val="left" w:pos="360" w:leader="none"/>
      </w:tabs>
    </w:pPr>
    <w:rPr>
      <w:rFonts w:ascii="Times New Roman" w:hAnsi="Times New Roman"/>
      <w:sz w:val="28"/>
      <w:szCs w:val="30"/>
    </w:rPr>
  </w:style>
  <w:style w:type="paragraph" w:styleId="920" w:customStyle="1">
    <w:name w:val="Char1"/>
    <w:basedOn w:val="851"/>
    <w:qFormat/>
    <w:rPr>
      <w:rFonts w:ascii="Tahoma" w:hAnsi="Tahoma"/>
      <w:sz w:val="24"/>
      <w:szCs w:val="24"/>
    </w:rPr>
  </w:style>
  <w:style w:type="character" w:styleId="921" w:customStyle="1">
    <w:name w:val="批注文字 字符"/>
    <w:basedOn w:val="845"/>
    <w:qFormat/>
    <w:rPr>
      <w:rFonts w:ascii="Calibri" w:hAnsi="Calibri" w:eastAsia="宋体" w:cs="Times New Roman"/>
    </w:rPr>
  </w:style>
  <w:style w:type="character" w:styleId="922" w:customStyle="1">
    <w:name w:val="批注文字 字符1"/>
    <w:basedOn w:val="845"/>
    <w:link w:val="852"/>
    <w:qFormat/>
    <w:rPr>
      <w:rFonts w:ascii="Calibri" w:hAnsi="Calibri" w:eastAsia="宋体" w:cs="Times New Roman"/>
    </w:rPr>
  </w:style>
  <w:style w:type="character" w:styleId="923" w:customStyle="1">
    <w:name w:val="批注主题 字符"/>
    <w:basedOn w:val="921"/>
    <w:uiPriority w:val="99"/>
    <w:semiHidden/>
    <w:qFormat/>
    <w:rPr>
      <w:rFonts w:ascii="Calibri" w:hAnsi="Calibri" w:eastAsia="宋体" w:cs="Times New Roman"/>
      <w:b/>
      <w:bCs/>
    </w:rPr>
  </w:style>
  <w:style w:type="character" w:styleId="924" w:customStyle="1">
    <w:name w:val="批注主题 字符1"/>
    <w:link w:val="877"/>
    <w:semiHidden/>
    <w:qFormat/>
    <w:rPr>
      <w:rFonts w:ascii="Times New Roman" w:hAnsi="Times New Roman" w:eastAsia="宋体" w:cs="Times New Roman"/>
      <w:b/>
      <w:bCs/>
      <w:szCs w:val="21"/>
    </w:rPr>
  </w:style>
  <w:style w:type="paragraph" w:styleId="925" w:customStyle="1">
    <w:name w:val="普通正文"/>
    <w:basedOn w:val="835"/>
    <w:qFormat/>
    <w:pPr>
      <w:ind w:firstLine="480"/>
      <w:jc w:val="left"/>
      <w:spacing w:before="120" w:after="120" w:line="360" w:lineRule="auto"/>
    </w:pPr>
    <w:rPr>
      <w:rFonts w:ascii="Arial" w:hAnsi="Arial"/>
      <w:sz w:val="24"/>
      <w:szCs w:val="24"/>
    </w:rPr>
  </w:style>
  <w:style w:type="paragraph" w:styleId="926" w:customStyle="1">
    <w:name w:val="table_lines"/>
    <w:basedOn w:val="835"/>
    <w:qFormat/>
    <w:pPr>
      <w:jc w:val="left"/>
      <w:widowControl/>
    </w:pPr>
    <w:rPr>
      <w:rFonts w:ascii="Times New Roman" w:hAnsi="Times New Roman"/>
      <w:sz w:val="20"/>
      <w:szCs w:val="20"/>
      <w:lang w:val="de-DE" w:eastAsia="de-DE"/>
    </w:rPr>
  </w:style>
  <w:style w:type="paragraph" w:styleId="927" w:customStyle="1">
    <w:name w:val="附录1"/>
    <w:qFormat/>
    <w:pPr>
      <w:numPr>
        <w:numId w:val="2"/>
      </w:numPr>
      <w:spacing w:before="240" w:line="600" w:lineRule="atLeast"/>
    </w:pPr>
    <w:rPr>
      <w:b/>
      <w:i/>
      <w:sz w:val="28"/>
    </w:rPr>
  </w:style>
  <w:style w:type="character" w:styleId="928" w:customStyle="1">
    <w:name w:val="正文文本缩进 字符"/>
    <w:basedOn w:val="845"/>
    <w:uiPriority w:val="99"/>
    <w:semiHidden/>
    <w:qFormat/>
    <w:rPr>
      <w:rFonts w:ascii="Calibri" w:hAnsi="Calibri" w:eastAsia="宋体" w:cs="Times New Roman"/>
    </w:rPr>
  </w:style>
  <w:style w:type="character" w:styleId="929" w:customStyle="1">
    <w:name w:val="正文文本缩进 字符1"/>
    <w:basedOn w:val="845"/>
    <w:link w:val="855"/>
    <w:qFormat/>
    <w:rPr>
      <w:rFonts w:ascii="Calibri" w:hAnsi="Calibri" w:eastAsia="宋体" w:cs="Times New Roman"/>
    </w:rPr>
  </w:style>
  <w:style w:type="character" w:styleId="930" w:customStyle="1">
    <w:name w:val="正文首行缩进 2 字符"/>
    <w:basedOn w:val="928"/>
    <w:uiPriority w:val="99"/>
    <w:semiHidden/>
    <w:qFormat/>
    <w:rPr>
      <w:rFonts w:ascii="Calibri" w:hAnsi="Calibri" w:eastAsia="宋体" w:cs="Times New Roman"/>
    </w:rPr>
  </w:style>
  <w:style w:type="character" w:styleId="931" w:customStyle="1">
    <w:name w:val="正文文本首行缩进 2 字符"/>
    <w:link w:val="879"/>
    <w:qFormat/>
    <w:rPr>
      <w:rFonts w:ascii="宋体" w:hAnsi="宋体" w:eastAsia="宋体" w:cs="Times New Roman"/>
      <w:szCs w:val="20"/>
    </w:rPr>
  </w:style>
  <w:style w:type="character" w:styleId="932" w:customStyle="1">
    <w:name w:val="正文文本缩进 3 字符"/>
    <w:basedOn w:val="845"/>
    <w:uiPriority w:val="99"/>
    <w:semiHidden/>
    <w:qFormat/>
    <w:rPr>
      <w:rFonts w:ascii="Calibri" w:hAnsi="Calibri" w:eastAsia="宋体" w:cs="Times New Roman"/>
      <w:sz w:val="16"/>
      <w:szCs w:val="16"/>
    </w:rPr>
  </w:style>
  <w:style w:type="character" w:styleId="933" w:customStyle="1">
    <w:name w:val="正文文本缩进 3 字符1"/>
    <w:link w:val="870"/>
    <w:qFormat/>
    <w:rPr>
      <w:rFonts w:ascii="Arial" w:hAnsi="Arial" w:eastAsia="仿宋_GB2312" w:cs="Arial"/>
      <w:color w:val="ffff00"/>
      <w:sz w:val="32"/>
      <w:szCs w:val="32"/>
    </w:rPr>
  </w:style>
  <w:style w:type="paragraph" w:styleId="934" w:customStyle="1">
    <w:name w:val="font7"/>
    <w:basedOn w:val="835"/>
    <w:qFormat/>
    <w:pPr>
      <w:jc w:val="left"/>
      <w:spacing w:before="100" w:beforeAutospacing="1" w:after="100" w:afterAutospacing="1"/>
      <w:widowControl/>
    </w:pPr>
    <w:rPr>
      <w:rFonts w:hint="eastAsia" w:ascii="宋体" w:hAnsi="宋体"/>
      <w:sz w:val="18"/>
      <w:szCs w:val="18"/>
    </w:rPr>
  </w:style>
  <w:style w:type="paragraph" w:styleId="935" w:customStyle="1">
    <w:name w:val="Char Char Char Char"/>
    <w:basedOn w:val="851"/>
    <w:qFormat/>
    <w:pPr>
      <w:spacing w:line="360" w:lineRule="auto"/>
    </w:pPr>
    <w:rPr>
      <w:rFonts w:ascii="Tahoma" w:hAnsi="Tahoma"/>
      <w:sz w:val="24"/>
      <w:szCs w:val="24"/>
    </w:rPr>
  </w:style>
  <w:style w:type="character" w:styleId="936" w:customStyle="1">
    <w:name w:val="正文文本 3 字符"/>
    <w:basedOn w:val="845"/>
    <w:uiPriority w:val="99"/>
    <w:semiHidden/>
    <w:qFormat/>
    <w:rPr>
      <w:rFonts w:ascii="Calibri" w:hAnsi="Calibri" w:eastAsia="宋体" w:cs="Times New Roman"/>
      <w:sz w:val="16"/>
      <w:szCs w:val="16"/>
    </w:rPr>
  </w:style>
  <w:style w:type="character" w:styleId="937" w:customStyle="1">
    <w:name w:val="正文文本 3 字符1"/>
    <w:link w:val="853"/>
    <w:qFormat/>
    <w:rPr>
      <w:rFonts w:ascii="仿宋_GB2312" w:hAnsi="Arial" w:eastAsia="仿宋_GB2312" w:cs="Times New Roman"/>
      <w:sz w:val="32"/>
      <w:szCs w:val="32"/>
    </w:rPr>
  </w:style>
  <w:style w:type="paragraph" w:styleId="938">
    <w:name w:val="List Paragraph"/>
    <w:basedOn w:val="835"/>
    <w:link w:val="973"/>
    <w:uiPriority w:val="34"/>
    <w:qFormat/>
    <w:pPr>
      <w:contextualSpacing/>
      <w:ind w:left="720"/>
      <w:jc w:val="left"/>
      <w:widowControl/>
    </w:pPr>
    <w:rPr>
      <w:sz w:val="24"/>
      <w:szCs w:val="24"/>
      <w:lang w:eastAsia="en-US" w:bidi="en-US"/>
    </w:rPr>
  </w:style>
  <w:style w:type="character" w:styleId="939" w:customStyle="1">
    <w:name w:val="文档结构图 字符"/>
    <w:basedOn w:val="845"/>
    <w:uiPriority w:val="99"/>
    <w:semiHidden/>
    <w:qFormat/>
    <w:rPr>
      <w:rFonts w:ascii="Microsoft YaHei UI" w:hAnsi="Calibri" w:eastAsia="Microsoft YaHei UI" w:cs="Times New Roman"/>
      <w:sz w:val="18"/>
      <w:szCs w:val="18"/>
    </w:rPr>
  </w:style>
  <w:style w:type="character" w:styleId="940" w:customStyle="1">
    <w:name w:val="文档结构图 字符1"/>
    <w:link w:val="851"/>
    <w:semiHidden/>
    <w:qFormat/>
    <w:rPr>
      <w:rFonts w:ascii="Times New Roman" w:hAnsi="Times New Roman" w:eastAsia="宋体" w:cs="Times New Roman"/>
      <w:szCs w:val="21"/>
      <w:shd w:val="clear" w:color="auto" w:fill="000080"/>
    </w:rPr>
  </w:style>
  <w:style w:type="paragraph" w:styleId="941" w:customStyle="1">
    <w:name w:val="4"/>
    <w:basedOn w:val="835"/>
    <w:next w:val="870"/>
    <w:qFormat/>
    <w:pPr>
      <w:ind w:firstLine="420"/>
      <w:spacing w:line="360" w:lineRule="auto"/>
    </w:pPr>
    <w:rPr>
      <w:rFonts w:ascii="Times New Roman" w:hAnsi="Times New Roman"/>
      <w:color w:val="ff0000"/>
      <w:sz w:val="24"/>
      <w:szCs w:val="24"/>
    </w:rPr>
  </w:style>
  <w:style w:type="paragraph" w:styleId="942" w:customStyle="1">
    <w:name w:val="普通 (Web)"/>
    <w:basedOn w:val="835"/>
    <w:qFormat/>
    <w:pPr>
      <w:jc w:val="left"/>
      <w:spacing w:before="100" w:beforeAutospacing="1" w:after="100" w:afterAutospacing="1"/>
      <w:widowControl/>
    </w:pPr>
    <w:rPr>
      <w:rFonts w:ascii="宋体" w:hAnsi="宋体"/>
      <w:sz w:val="24"/>
      <w:szCs w:val="24"/>
    </w:rPr>
  </w:style>
  <w:style w:type="paragraph" w:styleId="943" w:customStyle="1">
    <w:name w:val="Char Char Char Char Char Char Char Char Char Char"/>
    <w:basedOn w:val="835"/>
    <w:qFormat/>
    <w:pPr>
      <w:spacing w:line="360" w:lineRule="auto"/>
    </w:pPr>
    <w:rPr>
      <w:rFonts w:ascii="Times New Roman" w:hAnsi="Times New Roman"/>
      <w:sz w:val="24"/>
      <w:szCs w:val="20"/>
    </w:rPr>
  </w:style>
  <w:style w:type="character" w:styleId="944" w:customStyle="1">
    <w:name w:val="正文首行缩进 字符"/>
    <w:basedOn w:val="916"/>
    <w:uiPriority w:val="99"/>
    <w:semiHidden/>
    <w:qFormat/>
    <w:rPr>
      <w:rFonts w:ascii="Calibri" w:hAnsi="Calibri" w:eastAsia="宋体" w:cs="Times New Roman"/>
    </w:rPr>
  </w:style>
  <w:style w:type="character" w:styleId="945" w:customStyle="1">
    <w:name w:val="正文文本首行缩进 字符"/>
    <w:link w:val="878"/>
    <w:qFormat/>
    <w:rPr>
      <w:rFonts w:ascii="仿宋_GB2312" w:hAnsi="Times New Roman" w:eastAsia="仿宋_GB2312" w:cs="Times New Roman"/>
      <w:sz w:val="30"/>
      <w:szCs w:val="30"/>
    </w:rPr>
  </w:style>
  <w:style w:type="paragraph" w:styleId="946" w:customStyle="1">
    <w:name w:val="样式1"/>
    <w:basedOn w:val="835"/>
    <w:qFormat/>
    <w:pPr>
      <w:numPr>
        <w:numId w:val="3"/>
      </w:numPr>
    </w:pPr>
    <w:rPr>
      <w:rFonts w:ascii="宋体" w:hAnsi="宋体"/>
      <w:szCs w:val="21"/>
    </w:rPr>
  </w:style>
  <w:style w:type="paragraph" w:styleId="947" w:customStyle="1">
    <w:name w:val="font6"/>
    <w:basedOn w:val="835"/>
    <w:qFormat/>
    <w:pPr>
      <w:jc w:val="left"/>
      <w:spacing w:before="100" w:beforeAutospacing="1" w:after="100" w:afterAutospacing="1"/>
      <w:widowControl/>
    </w:pPr>
    <w:rPr>
      <w:rFonts w:hint="eastAsia" w:ascii="宋体" w:hAnsi="宋体"/>
      <w:sz w:val="28"/>
      <w:szCs w:val="28"/>
      <w:u w:val="single"/>
    </w:rPr>
  </w:style>
  <w:style w:type="character" w:styleId="948" w:customStyle="1">
    <w:name w:val="纯文本 字符"/>
    <w:basedOn w:val="845"/>
    <w:uiPriority w:val="99"/>
    <w:semiHidden/>
    <w:qFormat/>
    <w:rPr>
      <w:rFonts w:hAnsi="Courier New" w:cs="Courier New" w:asciiTheme="minorEastAsia"/>
    </w:rPr>
  </w:style>
  <w:style w:type="character" w:styleId="949" w:customStyle="1">
    <w:name w:val="纯文本 字符1"/>
    <w:link w:val="859"/>
    <w:qFormat/>
    <w:rPr>
      <w:rFonts w:ascii="宋体" w:hAnsi="Courier New" w:eastAsia="宋体" w:cs="Courier New"/>
      <w:szCs w:val="21"/>
    </w:rPr>
  </w:style>
  <w:style w:type="character" w:styleId="950" w:customStyle="1">
    <w:name w:val="批注框文本 字符"/>
    <w:basedOn w:val="845"/>
    <w:uiPriority w:val="99"/>
    <w:semiHidden/>
    <w:qFormat/>
    <w:rPr>
      <w:rFonts w:ascii="Calibri" w:hAnsi="Calibri" w:eastAsia="宋体" w:cs="Times New Roman"/>
      <w:sz w:val="18"/>
      <w:szCs w:val="18"/>
    </w:rPr>
  </w:style>
  <w:style w:type="character" w:styleId="951" w:customStyle="1">
    <w:name w:val="批注框文本 字符1"/>
    <w:link w:val="863"/>
    <w:semiHidden/>
    <w:qFormat/>
    <w:rPr>
      <w:rFonts w:ascii="Times New Roman" w:hAnsi="Times New Roman" w:eastAsia="宋体" w:cs="Times New Roman"/>
      <w:sz w:val="18"/>
      <w:szCs w:val="18"/>
    </w:rPr>
  </w:style>
  <w:style w:type="paragraph" w:styleId="952" w:customStyle="1">
    <w:name w:val="xl25"/>
    <w:basedOn w:val="83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3" w:customStyle="1">
    <w:name w:val="图标"/>
    <w:basedOn w:val="835"/>
    <w:next w:val="835"/>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954" w:customStyle="1">
    <w:name w:val="日期 字符"/>
    <w:basedOn w:val="845"/>
    <w:uiPriority w:val="99"/>
    <w:semiHidden/>
    <w:qFormat/>
    <w:rPr>
      <w:rFonts w:ascii="Calibri" w:hAnsi="Calibri" w:eastAsia="宋体" w:cs="Times New Roman"/>
    </w:rPr>
  </w:style>
  <w:style w:type="character" w:styleId="955" w:customStyle="1">
    <w:name w:val="日期 字符1"/>
    <w:link w:val="861"/>
    <w:qFormat/>
    <w:rPr>
      <w:rFonts w:ascii="Times New Roman" w:hAnsi="Times New Roman" w:eastAsia="宋体" w:cs="Times New Roman"/>
      <w:sz w:val="24"/>
      <w:szCs w:val="24"/>
    </w:rPr>
  </w:style>
  <w:style w:type="paragraph" w:styleId="956" w:customStyle="1">
    <w:name w:val="标题3"/>
    <w:basedOn w:val="835"/>
    <w:next w:val="835"/>
    <w:qFormat/>
    <w:pPr>
      <w:ind w:firstLine="624"/>
      <w:spacing w:line="590" w:lineRule="atLeast"/>
    </w:pPr>
    <w:rPr>
      <w:rFonts w:ascii="方正黑体_GBK" w:hAnsi="Times New Roman" w:eastAsia="方正黑体_GBK"/>
      <w:sz w:val="32"/>
      <w:szCs w:val="32"/>
    </w:rPr>
  </w:style>
  <w:style w:type="paragraph" w:styleId="957" w:customStyle="1">
    <w:name w:val="xl24"/>
    <w:basedOn w:val="83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8" w:customStyle="1">
    <w:name w:val="xl29"/>
    <w:basedOn w:val="835"/>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9" w:customStyle="1">
    <w:name w:val="Char Char Char Char Char Char Char Char"/>
    <w:basedOn w:val="835"/>
    <w:qFormat/>
    <w:pPr>
      <w:jc w:val="left"/>
      <w:spacing w:after="160" w:line="240" w:lineRule="exact"/>
      <w:widowControl/>
    </w:pPr>
    <w:rPr>
      <w:rFonts w:ascii="Verdana" w:hAnsi="Verdana"/>
      <w:sz w:val="20"/>
      <w:szCs w:val="20"/>
      <w:lang w:eastAsia="en-US"/>
    </w:rPr>
  </w:style>
  <w:style w:type="character" w:styleId="960" w:customStyle="1">
    <w:name w:val="正文文本 2 字符"/>
    <w:basedOn w:val="845"/>
    <w:uiPriority w:val="99"/>
    <w:semiHidden/>
    <w:qFormat/>
    <w:rPr>
      <w:rFonts w:ascii="Calibri" w:hAnsi="Calibri" w:eastAsia="宋体" w:cs="Times New Roman"/>
    </w:rPr>
  </w:style>
  <w:style w:type="character" w:styleId="961" w:customStyle="1">
    <w:name w:val="正文文本 2 字符1"/>
    <w:link w:val="874"/>
    <w:qFormat/>
    <w:rPr>
      <w:rFonts w:ascii="楷体_GB2312" w:hAnsi="Times New Roman" w:eastAsia="楷体_GB2312" w:cs="Times New Roman"/>
      <w:sz w:val="28"/>
      <w:szCs w:val="28"/>
    </w:rPr>
  </w:style>
  <w:style w:type="paragraph" w:styleId="962" w:customStyle="1">
    <w:name w:val="xl28"/>
    <w:basedOn w:val="835"/>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character" w:styleId="963" w:customStyle="1">
    <w:name w:val="页眉 Char"/>
    <w:qFormat/>
    <w:rPr>
      <w:rFonts w:ascii="Times New Roman" w:hAnsi="Times New Roman" w:eastAsia="宋体" w:cs="Times New Roman"/>
      <w:sz w:val="18"/>
      <w:szCs w:val="18"/>
    </w:rPr>
  </w:style>
  <w:style w:type="character" w:styleId="964" w:customStyle="1">
    <w:name w:val="页脚 Char"/>
    <w:uiPriority w:val="99"/>
    <w:qFormat/>
    <w:rPr>
      <w:rFonts w:ascii="Times New Roman" w:hAnsi="Times New Roman" w:eastAsia="宋体" w:cs="Times New Roman"/>
      <w:sz w:val="18"/>
      <w:szCs w:val="18"/>
    </w:rPr>
  </w:style>
  <w:style w:type="paragraph" w:styleId="965" w:customStyle="1">
    <w:name w:val="Char Char Char Char Char Char Char Char1"/>
    <w:basedOn w:val="835"/>
    <w:qFormat/>
    <w:pPr>
      <w:jc w:val="left"/>
      <w:spacing w:after="160" w:line="240" w:lineRule="exact"/>
      <w:widowControl/>
    </w:pPr>
    <w:rPr>
      <w:rFonts w:ascii="Verdana" w:hAnsi="Verdana"/>
      <w:sz w:val="20"/>
      <w:szCs w:val="20"/>
      <w:lang w:eastAsia="en-US"/>
    </w:rPr>
  </w:style>
  <w:style w:type="paragraph" w:styleId="966" w:customStyle="1">
    <w:name w:val="xl30"/>
    <w:basedOn w:val="835"/>
    <w:qFormat/>
    <w:pPr>
      <w:jc w:val="center"/>
      <w:spacing w:before="100" w:beforeAutospacing="1" w:after="100" w:afterAutospacing="1"/>
      <w:widowControl/>
    </w:pPr>
    <w:rPr>
      <w:rFonts w:ascii="宋体" w:hAnsi="宋体"/>
      <w:b/>
      <w:bCs/>
      <w:sz w:val="36"/>
      <w:szCs w:val="36"/>
    </w:rPr>
  </w:style>
  <w:style w:type="paragraph" w:styleId="967" w:customStyle="1">
    <w:name w:val="Char Char Char Char1"/>
    <w:basedOn w:val="851"/>
    <w:qFormat/>
    <w:pPr>
      <w:spacing w:line="360" w:lineRule="auto"/>
    </w:pPr>
    <w:rPr>
      <w:rFonts w:ascii="Tahoma" w:hAnsi="Tahoma"/>
      <w:sz w:val="24"/>
      <w:szCs w:val="24"/>
    </w:rPr>
  </w:style>
  <w:style w:type="paragraph" w:styleId="968" w:customStyle="1">
    <w:name w:val="table_1stline"/>
    <w:basedOn w:val="835"/>
    <w:qFormat/>
    <w:pPr>
      <w:jc w:val="left"/>
      <w:spacing w:before="120"/>
      <w:widowControl/>
    </w:pPr>
    <w:rPr>
      <w:rFonts w:ascii="Times New Roman" w:hAnsi="Times New Roman"/>
      <w:bCs/>
      <w:sz w:val="20"/>
      <w:szCs w:val="20"/>
      <w:lang w:val="de-DE" w:eastAsia="de-DE"/>
    </w:rPr>
  </w:style>
  <w:style w:type="paragraph" w:styleId="969" w:customStyle="1">
    <w:name w:val="font5"/>
    <w:basedOn w:val="835"/>
    <w:qFormat/>
    <w:pPr>
      <w:jc w:val="left"/>
      <w:spacing w:before="100" w:beforeAutospacing="1" w:after="100" w:afterAutospacing="1"/>
      <w:widowControl/>
    </w:pPr>
    <w:rPr>
      <w:rFonts w:hint="eastAsia" w:ascii="宋体" w:hAnsi="宋体"/>
      <w:sz w:val="28"/>
      <w:szCs w:val="28"/>
    </w:rPr>
  </w:style>
  <w:style w:type="paragraph" w:styleId="970" w:customStyle="1">
    <w:name w:val="标题1"/>
    <w:basedOn w:val="835"/>
    <w:next w:val="835"/>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71" w:customStyle="1">
    <w:name w:val="修订1"/>
    <w:uiPriority w:val="99"/>
    <w:semiHidden/>
    <w:qFormat/>
    <w:rPr>
      <w:sz w:val="21"/>
      <w:szCs w:val="21"/>
    </w:rPr>
  </w:style>
  <w:style w:type="paragraph" w:styleId="972">
    <w:name w:val="No Spacing"/>
    <w:uiPriority w:val="99"/>
    <w:qFormat/>
    <w:pPr>
      <w:jc w:val="both"/>
      <w:widowControl w:val="off"/>
    </w:pPr>
    <w:rPr>
      <w:sz w:val="21"/>
      <w:szCs w:val="21"/>
    </w:rPr>
  </w:style>
  <w:style w:type="character" w:styleId="973" w:customStyle="1">
    <w:name w:val="列表段落 字符"/>
    <w:link w:val="938"/>
    <w:uiPriority w:val="34"/>
    <w:qFormat/>
    <w:rPr>
      <w:rFonts w:ascii="Calibri" w:hAnsi="Calibri" w:eastAsia="宋体" w:cs="Times New Roman"/>
      <w:sz w:val="24"/>
      <w:szCs w:val="24"/>
      <w:lang w:eastAsia="en-US" w:bidi="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李昕</dc:creator>
  <cp:lastModifiedBy>李昕</cp:lastModifiedBy>
  <cp:revision>8</cp:revision>
  <dcterms:created xsi:type="dcterms:W3CDTF">2025-10-28T01:10:00Z</dcterms:created>
  <dcterms:modified xsi:type="dcterms:W3CDTF">2025-10-30T02:34:40Z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eyJoZGlkIjoiM2E0Y2ZlZGFmMzllZTA2MmU2NjM0NWZiOWIyZTNjODUiLCJ1c2VySWQiOiIxMjA5MjY4MDczIn0=</vt:lpwstr>
  </property>
  <property fmtid="{D5CDD505-2E9C-101B-9397-08002B2CF9AE}" pid="3" name="KSOProductBuildVer">
    <vt:lpwstr>2052-12.1.0.23125</vt:lpwstr>
  </property>
  <property fmtid="{D5CDD505-2E9C-101B-9397-08002B2CF9AE}" pid="4" name="ICV">
    <vt:lpwstr>C19035D74A8A41AC9429EF4EA729D227_12</vt:lpwstr>
  </property>
</Properties>
</file>